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E-5266/2010 vom 9. Januar 2013</w:t>
      </w:r>
    </w:p>
    <w:p>
      <w:r>
        <w:t>Bundesverwaltungsgericht, 2013-01-09, DE</w:t>
      </w:r>
    </w:p>
    <w:p>
      <w:r>
        <w:rPr>
          <w:b/>
        </w:rPr>
        <w:t xml:space="preserve">Quelle: </w:t>
      </w:r>
      <w:r>
        <w:t>https://mcp.opencaselaw.ch/entscheid/bvger_E-5266_2010</w:t>
      </w:r>
    </w:p>
    <w:p>
      <w:r>
        <w:t>FR: TAF E-5266/2010 du 9 janvier 2013</w:t>
      </w:r>
    </w:p>
    <w:p>
      <w:r>
        <w:t>IT: TAF E-5266/2010 del 9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formellrechtlicher Hinsicht wird sinngemäss gerügt, die Vorinstanz habe das rechtliche Gehör bzw. die Untersuchungspflicht verletzt, indem sie zu Unrecht angenommen habe, der Beschwerdeführer sei zum Zeitpunkt der Anhörung volljährig gewesen, weshalb ihm ebenfalls zu Unrecht keine Vertrauensperson für das Verfahren beigeordnet worden sei bzw. keine weiteren Abklärungen betreffend den Wegweisungsvollzug vorgenommen worden seien (vgl. Prozessgeschichte Bst. G). Der vor-instanzliche Entscheid vom 22. Juni 2010 sei deshalb formell fehlerhaft und aufgrund dessen aufzuheben.</w:t>
      </w:r>
    </w:p>
    <w:p>
      <w:r>
        <w:rPr>
          <w:b/>
        </w:rPr>
        <w:t>E. 3.2</w:t>
      </w:r>
    </w:p>
    <w:p>
      <w:r>
        <w:t>Hierzu ist festzustellen, dass der Beschwerdeführer für die zum Zeitpunkt der Anhörung und des Entscheides geltend gemachte Minderjährigkeit die Beweislast trug und ihn damit auch die Folgen der Beweislosigkeit trafen. Wäre es dem Beschwerdeführer hingegen gelungen, seine geltend gemachte Minderjährigkeit glaubhaft darzulegen, so hätte das BFM in der Tat die Pflicht getroffen, ihm für die Anhörung eine Vertrauensperson beizuordnen und Abklärungen betreffend den Wegweisungsvollzug vorzunehmen. Dazu gilt es festzuhalten, dass die Missachtung der Pflicht zur Beiordnung einer Vertrauensperson als Verletzung des Anspruchs auf rechtliches Gehör zu behandeln ist (vgl. Entscheidungen und Mitteilungen der Schweizerischen Asylrekurskommission [EMARK] 1999 Nr. 2 E. 5) und, wenn sie auf Beschwerdeebene gerügt wird, in der Regel zur Kassation der angefochtenen Verfügung führt, da eine Heilung nur in Ausnahmefällen zulässig ist. Eine Ausnahme liegt vor, wenn der Beschwerdeführerin oder dem Beschwerdeführer daraus kein Rechtsnachteil (mehr) entsteht, d.h. dass der relevante Sachverhalt rechtsgenüglich festgestellt ist (vgl. EMARK 1999 Nr. 18 E. 5d; vgl. entgegenstehend dazu BVGE 2011/23 E. 6.3, in welchem der schwerwiegende Verfahrensmangel [Nichtbeiordnung einer Vertrauensperson und nicht rechtsgenügliche Feststellung des rechtserheblichen Sachverhalts] nicht geheilt werden konnte; vgl. auch Rechtsprechung zu den Grundsätzen der Heilung der Gehörsverletzung BVGE 2008/47 E. 3.3.4 S. 676, m.w.H.).</w:t>
      </w:r>
    </w:p>
    <w:p>
      <w:r>
        <w:rPr>
          <w:b/>
        </w:rPr>
        <w:t>E. 3.3</w:t>
      </w:r>
    </w:p>
    <w:p>
      <w:r>
        <w:t>Gemäss der Praxis ist es zulässig, vor der einlässlichen Anhörung zu den Asylgründen und ohne Beiordnung einer Vertrauensperson vorfrageweise über die Frage der Glaubhaftigkeit einer geltend gemachten Minderjährigkeit zu befinden, wenn Zweifel an den Altersangaben der Asyl suchenden Person bestehen (vgl. EMARK 2004 Nr. 30). Für die Beurteilung des Alters einer solchen Person würden in erster Linie von dieser selbst abgegebene oder von den Behörden auf andere Weise erlangte und für echt befundene Identitätspapiere (Art. 1a Bst. b und c der Asylverordnung 1 vom 11. August 1999 über Verfahrensfragen [AsylV1, SR 142.311]) in Betracht fallen, d.h. Urkunden im Sinne von Art. 12 Bst. a VwVG; ihnen komme - ihre Echtheit vorausgesetzt - ein hoher Beweiswert zu. Abklärungsergebnisse, welche auf "wissenschaftlichen Methoden" beruhten, insbesondere Knochenaltersanalysen, vermöchten hingegen höchstens ein "schwaches" Indiz für die Volljährigkeit einer Person zu bilden (EMARK 2004 Nr. 30 E. 6.2 S. 211). Dasselbe gelte auch für das Kriterium des "äusseren Erscheinungsbildes" (EMARK 2004 Nr. 30 E. 6.3 S. 211). Bei der vorfrageweisen Prüfung des Alters einer ihre Minderjährigkeit behauptenden Asyl suchenden Person komme deshalb der Würdigung ihrer eigenen Angaben, die sie einerseits zu ihrem Alter selbst, andrerseits zur unterbliebenen Abgabe von Identitätspapieren mache, in aller Regel entscheidende Bedeutung zu. Bei den betreffenden Angaben handle es sich um Parteiauskünfte im Sinne von Art. 12 Bst. b VwVG, die frei auf ihre Glaubwürdigkeit hin zu würdigen seien (vgl. EMARK 2004 Nr. 30 E. 6.4.1.).</w:t>
      </w:r>
    </w:p>
    <w:p>
      <w:r>
        <w:rPr>
          <w:b/>
        </w:rPr>
        <w:t>E. 3.4</w:t>
      </w:r>
    </w:p>
    <w:p>
      <w:r>
        <w:t>Die Vorinstanz begründete ihren Befund mit mehreren, konkreten Indizien, welche gesamthaft betrachtet ursächlich seien an ihren ernsthaften Zweifeln an der Richtigkeit des von ihm angegebenen Alters: Er habe keine rechtsgenüglichen Papiere abgegeben, habe keine plausible Gründe für das Fehlen von Ausweispapieren nennen können, habe sehr ungenaue Angaben zu seinen Familienverhältnissen gemacht und sehe älter aus als angegeben. Auch habe die durchgeführte Knochenaltersanalyse ergeben, dass sein Skelettwachstum demjenigen einer ausgewachsenen Person entspreche (vgl. A12/6 S. 5).</w:t>
      </w:r>
    </w:p>
    <w:p>
      <w:r>
        <w:rPr>
          <w:b/>
        </w:rPr>
        <w:t>E. 3.5</w:t>
      </w:r>
    </w:p>
    <w:p>
      <w:r>
        <w:t>Nach Würdigung der Aktenlage kommt das Bundesverwaltungsgericht zum Schluss, dass die Vorinstanz angesichts der völlig unsubstanziierten Altersangaben des Beschwerdeführers zu Recht von der Beweislosigkeit und damit von der Unglaubhaftigkeit der von ihm geltend gemachten Minderjährigkeit ausgegangen ist. So hat der Beschwerdeführer anlässlich der Befragung und Nachbefragung zum einen in sehr unbestimmter Weise erklärt, er habe sein Geburtsdatum lediglich von seiner Mutter erfahren (vgl. A1/12 S. 2; A12/6 S. 3). Zum anderen hat er keine nachvollziehbaren Gründe für die unterbliebene Abgabe von Identitätspapieren genannt, beschränkte er sich doch diesbezüglich auf die wenig plausible Aussage, er habe solche Papiere nie gehabt und auch nicht beantragt (vgl. A1/12 S. 5; A12/6 S. 4). Als Indiz gegen die von ihm geltend gemachte Minderjährigkeit ist im Weiteren auch die vage und realitätsfremde Beschreibung seines Reiseweges - er sei teilweise mit dem Personenwagen, teilweise mit dem Schiff, teilweise mit dem Zug über ihm unbekannte Orte von Bangladesch in die Schweiz gereist (vgl. A1/12 S. 7 f.) - anzuführen. Bei der im Rahmen des vorinstanzlichen Verfahrens eingereichten Geburtskurkunde vom 6. Juni 2010 handelt es sich zudem, wie von der Vorinstanz richtig erwogen (vgl. A17/21 S. 17), nicht um ein rechtsgenügliches "Identitätspapier" im Sinne von Art. 1a Bst. c der AsylV1 (bspw. keine Fotografie angebracht), da es zwar Hinweise auf die Identität des Beschwerdeführers zu geben vermag, aber in erster Linie einem anderen Zweck dient, namentlich der Bestätigung der Geburt zu einem bestimmten Zeitpunkt, und zudem nicht als "fälschungssicher" gilt (vgl. BVGE 2007/7 E. 5.1.3 sowie E. 6). Damit ist als Zwischenergebnis festzuhalten, dass die vom Beschwerdeführer behauptete Minderjährigkeit nach der Befragung in der Empfangsstelle unbewiesen geblieben und von ihm auch im weiteren Verlauf des vorinstanzlichen Asylverfahrens nicht glaubhaft gemacht worden ist. Deshalb ist nicht zu beanstanden, dass das BFM aufgrund der Sachlage zum damaligen Zeitpunkt ihm vor der Anhörung zu den Asylgründen vom 22. Juni 2010 keine Vertrauensperson beiordnete und keine weiteren Abklärungen betreffend den Wegweisungsvollzug vornahm. Mithin ist kein Verfahrensfehler seitens der Vorinstanz zu jenem Zeitpunkt festzustellen. Ob aufgrund des auf Beschwerdeebene nachgereichten "National Certificate" festgestellt werden müsste, die Vorinstanz habe das rechtliche Gehör verletzt, kann - wie nachfolgend dargetan - offen gelassen werden.</w:t>
      </w:r>
    </w:p>
    <w:p>
      <w:r>
        <w:rPr>
          <w:b/>
        </w:rPr>
        <w:t>E. 3.6</w:t>
      </w:r>
    </w:p>
    <w:p>
      <w:r>
        <w:t>Zum auf Beschwerdeebene eingereichten Beweismittel - dem "National Certificate" vom 13. Juli 2010 - ist anzumerken, dass dieses allenfalls den Anforderungen für die Anerkennung als "Identitätspapier" gemäss Art. 1a Bst. c der AsylV1 zu genügen vermag: Gemäss Wortlaut dieser Bestimmung wird damit "ein amtliches Dokument mit Fotografie, welches zum Zweck des Nachweises der Identität seines Inhabers ausgestellt wurde" angesprochen, worunter gemäss der Praxis "jeder Ausweis" fällt, "der (hauptsächlich) zum Zwecke des Identitätsbeweises von den heimatlichen Behörden ausgestellt wurde" (vgl. BVGE 2007/7 E. 6). Das BFM sprach diesem Dokument mangels entsprechender Beglaubigung jeglichen Beweiswert ab (vgl. Prozessgeschichte Bst. I oben). Diese Argumentation ist angesichts der Tatsache, dass solche Dokumente in Bangladesch bekanntermassen leicht käuflich sind, zu stützen. Abgesehen davon könnte eine aus der Nichtbeiordnung einer Vertrauensperson bzw. Nichtabklärung der Einzelheiten des Wegweisungsvollzugs resultierende allfällige Verletzung des rechtlichen Gehörs aufgrund nachfolgender Gründe als geheilt betrachtet werden: Vorliegend wurde der Beschwerdeführer eingehend zu seinen Asylgründen befragt, und den Protokollen können keine Hinweise entnommen werden, dass er die Fragen nicht verstanden oder sonst Schwierigkeiten gehabt hätte, diese zu beantworten. Sodann ist er zum heutigen Zeitpunkt ohne Zweifel volljährig, weshalb sich keine Fragen hinsichtlich allfälliger Wegweisungsvollzugshindernisse im Zusammenhang mit dem Kindeswohl stellen, die von der Vorinstanz abzuklären wären. Es ist deshalb insgesamt festzustellen, dass der rechtserhebliche Sachverhalt hinsichtlich der Asylgründe rechtsgenüglich erstellt worden und dem Beschwerdeführer aufgrund einer (allfälligen) vorinstanzlichen Pflichtverletzung kein Rechtsnachteil erwachsen ist. Überdies hat der Beschwerdeführer die Verfügung vollumfänglich angefochten und somit Gelegenheit gehabt, sich auch auf Beschwerdeebene zu den Asylgründen zu äussern. Schliesslich ist festzuhalten, dass die Rechtsmittelinstanz eine umfassende Kognition hat, womit sowohl Rechts- als auch Sachverhaltsfragen überprüft werden. Angesichts dieser Faktenlage ist insgesamt festzuhalten, dass eine Rückweisung der Sache an die Vorinstanz zu einem formalistischen Leerlauf und damit zu unnötigen Verzögerungen führen würde, die mit dem (gleichgestellten) Interesse der betroffenen Partei an einer beförderlichen Beurteilung der Sache nicht zu vereinbaren wären (vgl. BGE 2C_694/2009 vom 20. Mai 2010 E. 2.2.1).</w:t>
      </w:r>
    </w:p>
    <w:p>
      <w:r>
        <w:rPr>
          <w:b/>
        </w:rPr>
        <w:t>E. 3.7</w:t>
      </w:r>
    </w:p>
    <w:p>
      <w:r>
        <w:t>Folglich gibt es unter diesen Umständen keinen Grund, das Verfahren an die Vorinstanz zurückzuweisen; dieses wird vor der Beschwerdeinstanz weitergeführt.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im Wesentlichen damit, dass die geltend gemachten erlittenen und befürchteten Verfolgungsmassnahmen von Privatpersonen (Onkel A., Cousin S.) ausgegangen seien, weshalb es die Aufgabe der Polizei und Justiz von Bangladesch sei, diese gemäss ihren Möglichkeiten zu untersuchen, aufzuklären und zu ahnden. Damit einher gehe deren Verpflichtung, Personen bei konkreter Gefährdung nach Möglichkeit durch geeignete Massnahmen zu schützen. Bei der vorgebrachten Bestechung der lokalen Polizei im Heimatdorf des Beschwerdeführers durch seinen Onkel A. handle es sich nicht um Unkorrektheiten seitens offizieller, staatlicher Organe, sondern um Personen, die ihr Amt als Dorfpolizisten missbrauchen würden bzw. sich vom Onkel des Beschwerdeführers "korrumpieren" liessen. Es sei ihm zuzumuten, sich an die Sicherheitsorgane der z.B. nächst grösseren Stadt oder der Distrikt-Hauptstadt zu wenden, um diese um Hilfe, Unterstützung und Schutz vor den vorgebrachten erlittenen bzw. noch befürchteten Übergriffe seitens seines Onkels und der angeblich diesem hörigen, sich unkorrekt verhaltenden Dorfpolizei zu bitten. Er hätte sich auch an eine Anwaltskanzlei oder an eine Hilfsinstitution wenden können, die in solchen Angelegenheiten Hilfe anbieten würden. Ferner könne er sich auch in einen anderen Landesteil von Bangladesch begeben, um sich den befürchteten Übergriffen durch seinen Onkel und dessen Gefolgschaft zu entziehen. Zusammenfassend seien seine Vorbringen nicht asylbeachtlich, da sie den Anforderungen an die Flüchtlingseigenschaft gemäss Art. 3 AsylG nicht standhalten würden.</w:t>
      </w:r>
    </w:p>
    <w:p>
      <w:r>
        <w:rPr>
          <w:b/>
        </w:rPr>
        <w:t>E. 5.2</w:t>
      </w:r>
    </w:p>
    <w:p>
      <w:r>
        <w:t>Dem hielt der Beschwerdeführer in seiner Beschwerdeergänzung vom 23. August 2010 entgegen, es sei in Bangladesch schwierig, von den Behörden Schutz zu erlangen. Es sei nicht möglich, sich an die Polizei der nächst grösseren Stadt zu wenden, da er nicht beweisen könne, dass sein Onkel die Dorfpolizei bestochen habe. Er würde weggewiesen und wieder zurück zur Dorfpolizei zurückgeschickt werden, von der er auch keine Hilfe erwarten könne. Kurz nachdem er und seine Mutter aus dem Dorf geflüchtet und nach C._______ gezogen seien, hätten sein Onkel und sein Cousin sie dort gefunden. Die beiden würden sie überall in Bangladesch "aufspüren" und versuchen, ihn in das Dorf zu verschleppen. Eine inländische Fluchtalternative gebe es für ihn deshalb nicht. Zusammenfassend seien in Bangladesch weder die Polizei noch seine Familie in der Lage, ihn zu schützen.</w:t>
      </w:r>
    </w:p>
    <w:p>
      <w:r>
        <w:rPr>
          <w:b/>
        </w:rPr>
        <w:t>E. 6</w:t>
      </w:r>
    </w:p>
    <w:p>
      <w:r>
        <w:t>Eine Verfolgung durch nichtstaatliche Akteure kann grundsätzlich flüchtlingsrechtlich relevant sein, wenn es der betroffenen Person nicht möglich ist, davor im Heimatstaat adäquaten Schutz zu finden (vgl. EMARK 2006 Nr. 18).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Dabei gilt es zu beachten, dass eine Verfolgung im Sinne des Asylgesetzes und des Abkommens vom 28. Juli 1951 über die Rechtsstellung der Flüchtlinge (FK, SR 0.142.30) immer wegen des Seins (d. h. des Anders-Seins), nicht wegen des Tuns erfolgt. Flüchtlingsrechtlich relevant wird eine Verfolgung dann, wenn sie wegen eines in der Person liegenden Merkmals, das untrennbar mit ihr oder ihrer Persönlichkeit verbunden ist, erfolgt, mithin in diskriminierender Weise an ein persönliches Merkmal, das sie "andersartig" macht, anknüpft. Der Verfolger kann zwar vordergründig auf die Handlungsweise einer Person abzielen (z. B. Teilnahme an einer Demonstration oder Besuch eines Gottesdienstes), der Eingriff wird aber nur dann für die Flüchtlingseigenschaft bedeutsam, wenn er die hinter der betreffenden Handlung steckende Gesinnung oder Eigenart der Person treffen will (vgl. EMARK 2006 Nr. 32).</w:t>
      </w:r>
    </w:p>
    <w:p>
      <w:r>
        <w:rPr>
          <w:b/>
        </w:rPr>
        <w:t>E. 6.1</w:t>
      </w:r>
    </w:p>
    <w:p>
      <w:r>
        <w:t>Die Vorinstanz begründete ihren Entscheid vorab mit dem vorhandenen Schutz, den der bangladeschische Staat dem Beschwerdeführer gegen die Nachteile seitens seiner Familienangehörigen, bieten könne. Nach der sogenannten Schutztheorie ist nichtstaatliche Verfolgung nur dann asylrelevant,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18 E. 10.2 S. 202 f.; EMARK 2006 Nr. 32 E. 6.1 S. 340 f.). Betreffend die Schutzfähigkeit und den Schutzwillen des heimatlichen Staates muss sich der Beschwerdeführer anlasten lassen, dass er und seine Mutter es unterlassen haben, die Behörden über den angeblichen Ertränkungsversuch durch seinen Onkel bzw. den Vergiftungsversuch durch seinen Cousin zu informieren, und dadurch ein angemessenes Handeln des Staates verunmöglichten. Seine Begründung für diese Unterlassungen - er hege die Vermutung, die lokale Polizei sei vom Onkel A. mit Geld bestochen worden - ist unsubstantiiert, unbelegt und bleibt somit eine reine Behauptung. Mangels nachgewiesener Meldungen bei der Dorfpolizei bzw. bei der Polizei in C._______ - wo ihn sein Onkel angeblich zwei Mal heimgesucht und sein Cousin ihn einmal mit einem Rasiermesser bedroht haben soll, ansonsten er dort aber 1½ Jahre lang unbehelligt habe leben können - konnte der Beschwerdeführer somit auch nicht glaubhaft darlegen, dass er - wie auf Beschwerdeebene vorgebracht - "von der Polizei der nächst grösseren Stadt weggewiesen und zur Dorfpolizei zurückgeschickt werde, von der er auch keine Hilfe erwarten könne". Diese pauschalen Ausführungen, wonach es sich beim bangladeschischen Polizei- und Justizwesen im Allgemeinen um ein korruptes Staatssystem handle, von welchem er per se keinen behördlichen Schutz erwarten könne, vermögen dabei weder eine Schutzunfähigkeit noch einen fehlenden Schutzwillen im konkreten Einzelfall zu belegen. Es ist demnach im vorliegenden Fall vom Schutzwillen und der weitgehenden Schutzfähigkeit der bangladeschischen Behörden auszugehen. Die asylrechtliche Relevanz der geltend gemachten Übergriffe kann somit nicht bejaht werden.</w:t>
      </w:r>
    </w:p>
    <w:p>
      <w:r>
        <w:rPr>
          <w:b/>
        </w:rPr>
        <w:t>E. 6.2</w:t>
      </w:r>
    </w:p>
    <w:p>
      <w:r>
        <w:t>Vorliegend ist aufgrund der Akten überdies nicht davon auszugehen, der Beschwerdeführer werde wegen der Zugehörigkeit zu einer zur Verfolgung ausgesonderten bestimmten Gruppe, d.h. wegen seines "Anders-Seins", von Familienangehörigen bedroht oder vom Staat gemäss seinen Angaben nicht geschützt. Vielmehr wird aus den Ausführungen des Beschwerdeführers ersichtlich, dass die Familie den Beschwerdeführer aufgrund seines Vermögens behelligte, also aus rein wirtschaftlichen Gründen. Es ist daher im Verhalten der Angehörigen kein diskriminierendes, an ein in der Person des Beschwerdeführers liegendes Merkmal anknüpfendes Element ersichtlich, weshalb es bereits an einem Verfolgungsmotiv gemäss Art. 3 AsylG fehlt.</w:t>
      </w:r>
    </w:p>
    <w:p>
      <w:r>
        <w:rPr>
          <w:b/>
        </w:rPr>
        <w:t>E. 6.3</w:t>
      </w:r>
    </w:p>
    <w:p>
      <w:r>
        <w:t>Zusammenfassend ergibt sich, dass die Vorinstanz die Flüchtlingseigenschaft mangels Relevanz der Asylvorbringen des Beschwerdeführers zu Recht verneint hat. Es erübrigt sich deshalb, auf gewisse Unglaubhaftigkeitselemente, die sich aus den Vorbringen des Beschwerdeführers ergeben haben, einzugehen (vgl. dazu auch die Unglaubhaftigkeit der Minderjährigkeit in E. 3 oben).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Bangladesch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Der Wegweisungsvollzug nach Bangladesch ist grundsätzlich zumutbar, da in Bangladesch keine Situation allgemeiner Gewalt herrscht und nicht von kriegerischen oder bürgerkriegsähnlichen Verhältnissen gesprochen werden kann (BVGE 2010/8 E. 9.5).</w:t>
      </w:r>
    </w:p>
    <w:p>
      <w:r>
        <w:rPr>
          <w:b/>
        </w:rPr>
        <w:t>E. 8.4.2</w:t>
      </w:r>
    </w:p>
    <w:p>
      <w:r>
        <w:t>In den Akten finden sich zudem auch keine konkreten Anhaltspunkte dafür, dass der junge, ledige und gesunde Beschwerdeführer aus individuellen Gründen wirtschaftlicher, sozialer oder gesundheitlicher Natur in eine existenzbedrohende Situation geraten würde. Sollte tatsächlich ein Bruch mit der Familie väterlicherseits stattgefunden haben, so verfügt der Beschwerdeführer in seinen Heimatland gemäss Aktenlage trotzdem nach wie vor über ein weitläufiges familiäres und soziales Beziehungsnetz ([Angaben zum Beziehungsnetz]). Insbesondere in C._______, wo er eigenen Angaben zufolge 1½ Jahre lang vor seiner Ausreise gearbeitet und gelebt haben will, wird ihm zumindest eine Bleibe zur Verfügung stehen. Mithilfe seiner Mutter und seinem "Beschützer" A.H. sollte es ihm auch gelingen, sich dort seine Existenzgrundlage zu sichern. Im Übrigen ist darauf hinzuweisen, dass allein wirtschaftliche Schwierigkeiten, von welchen die vor Ort ansässige Bevölkerung generell betroffen ist, wie beispielsweise Wohnungsnot oder ein schwieriger Arbeitsmarkt, für sich allein keine konkrete Gefährdung im Sinne von Art. 83 Abs. 4 AuG darstellt (vgl. EMARK 2005 Nr. 24 E. 10.1 S. 215).</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Da das Bundesverwaltungsgericht mit Verfügung vom 31. August 2010 das Gesuch des Beschwerdeführers um Gewährung der unentgeltlichen Prozessführung guthiess und angesichts der - gemäss Kenntnissen des Gerichts - nach wie vor bestehenden Bedürftigkeit des Beschwerdeführers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