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E-5265/2025 vom 16. September 2025</w:t>
      </w:r>
    </w:p>
    <w:p>
      <w:r>
        <w:t>Bundesverwaltungsgericht, 2025-09-16, DE</w:t>
      </w:r>
    </w:p>
    <w:p>
      <w:r>
        <w:rPr>
          <w:b/>
        </w:rPr>
        <w:t xml:space="preserve">Quelle: </w:t>
      </w:r>
      <w:r>
        <w:t>https://mcp.opencaselaw.ch/entscheid/bvger_E-5265_2025</w:t>
      </w:r>
    </w:p>
    <w:p>
      <w:r>
        <w:t>FR: TAF E-5265/2025 du 16 septembre 2025</w:t>
      </w:r>
    </w:p>
    <w:p>
      <w:r>
        <w:t>IT: TAF E-5265/2025 del 16 settembre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w:t>
      </w:r>
    </w:p>
    <w:p>
      <w:r>
        <w:rPr>
          <w:b/>
        </w:rPr>
        <w:t>E. 5.2</w:t>
      </w:r>
    </w:p>
    <w:p>
      <w:r>
        <w:t>In allen Fällen nach Art. 31a Abs. 1 AsylG ist zwingend erforderlich, dass hinsichtlich des Vollzugs eine Rückübernahmezusicherung des Drittstaates vorliegt. Dies ergibt sich aus der Richtlinie 2008/115/EG des Europäischen Parlaments und des Rates vom 16. Dezember 2008 über gemeinsame Normen und Verfahren in den Mitgliedstaaten zur Rückführung illegal aufhältiger Drittstaatsangehöriger (nachfolgend Rückführungsrichtlinie) sowie aus dem Abkommen zwischen der Schweizerischen Eidgenossenschaft und der Italienischen Republik über die Rückübernahme von Personen mit unbefugtem Aufenthalt vom 10. September 1998 (SR 0.142.114.549; nachfolgend Rückübernahmeabkommen IT-CH). Daher ist die tatsächliche Möglichkeit des Wegweisungsvollzugs (und nicht nur der Weiterreise oder Rückkehr) Rechtmässigkeitsvoraussetzung für den Erlass eines Nichteintretensentscheids gemäss Art. 31a Abs. 1 AsylG; die Frage, ob die asylsuchende Person selbstständig beziehungsweise freiwillig in den Drittstaat zurückkehren könnte, ist für die Anwendung der Drittstaatenregelung demnach nicht ausschlaggebend (vgl. Urteile des BVGer D-7483/2024 vom 13. Dezember 2024 E. 6; D-788/2021 vom 25. November 2024 E. 5.2; E-4427/2021 vom 28. November 2023 E. 4.2; Constantin Hruschka in: Spescha et al. [Hrsg.], Kommentar zum Migrationsrecht, 5. Aufl. 2019, Art. 31a AsylG Rn. 3, vgl. auch BBl 2002 6845, 6850).</w:t>
      </w:r>
    </w:p>
    <w:p>
      <w:r>
        <w:rPr>
          <w:b/>
        </w:rPr>
        <w:t>E. 6.1</w:t>
      </w:r>
    </w:p>
    <w:p>
      <w:r>
        <w:t>In der Beschwerde wird eine unvollständige Sachverhaltserstellung gerügt und geltend gemacht, die Vorinstanz habe keine Übernahmezusicherung bei den italienischen Behörden eingeholt, obwohl die Zusicherung des entsprechenden Drittstaats zur Rückübernahme der betreffenden Personen eine Voraussetzung für den Erlass eines Nichteintretensentscheides sei. So sei die Vorinstanz gemäss dem Rückübernahmeabkommen zwischen der Schweiz und Italien verpflichtet, sicherzustellen, dass die Einreise einer gesuchstellenden Person in den ersuchten Staat bewilligt werde. Da die Vorinstanz dies versäumt habe, sei die Sache an die Vorinstanz zurückzuweisen.</w:t>
      </w:r>
    </w:p>
    <w:p>
      <w:r>
        <w:rPr>
          <w:b/>
        </w:rPr>
        <w:t>E. 6.2</w:t>
      </w:r>
    </w:p>
    <w:p>
      <w:r>
        <w:t>Die Vorinstanz ist in ihrem Entscheid gestützt auf Art. 31a Abs. 1 Bst. a AsylG nicht auf das Asylgesuch eingetreten und hat die Wegweisung nach Italien angeordnet. Sie hat sich diesbezüglich auf den Standpunkt gestellt, dass sich aus der dem SEM vorliegenden Mitteilung der italienischen Behörden ergebe, dass die Beschwerdeführerin über eine bis zum (...) 2029 gültige Aufenthaltsbewilligung verfüge. Es sei denn auch amtsnotorisch, dass mit der Gewährung des Flüchtlingsstatus eine Aufenthaltsbewilligung erteilt werde. Vor diesem Hintergrund erübrige sich ein Rückübernahmeersuchen und sie könne selbständig nach Italien zurückkehren.</w:t>
      </w:r>
    </w:p>
    <w:p>
      <w:r>
        <w:rPr>
          <w:b/>
        </w:rPr>
        <w:t>E. 6.3</w:t>
      </w:r>
    </w:p>
    <w:p>
      <w:r>
        <w:t>Diese Argumentation widerspricht klarerweise dem vorliegend anwendbaren Recht, da - wie in der Beschwerde zutreffend ausgeführt - ein solcher Nichteintretensentscheid gestützt auf die Rückführungsrichtlinie sowie das Rückübernahmeabkommen IT-CH zwingend voraussetzt, dass der übernehmende Staat eine Rückübernahmezusicherung abgegeben hat (s. o. E. 5.2). Indem das SEM ohne die erforderliche Zusicherung der Rückübernahme des Beschwerdeführers durch die zuständigen italienischen Behörden in Anwendung von Art. 31a Abs. 1 Bst. a AsylG auf das Asylgesuch nicht eingetreten ist, ist der entscheidrelevante Sachverhalt im Hinblick auf die Frage, ob eine Überstellung nach Italien rechtmässig sei, nicht rechtsgenüglich erstellt. Damit hat das SEM Bundesrecht verletzt (Art. 106 Abs. 1 Bst. b AsylG) und die Beschwerde ist gutzuheissen.</w:t>
      </w:r>
    </w:p>
    <w:p>
      <w:r>
        <w:rPr>
          <w:b/>
        </w:rPr>
        <w:t>E. 7.1</w:t>
      </w:r>
    </w:p>
    <w:p>
      <w:r>
        <w:t>Gemäss Art. 61 Ab.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(vgl. BVGE 2012/21 E. 5).</w:t>
      </w:r>
    </w:p>
    <w:p>
      <w:r>
        <w:rPr>
          <w:b/>
        </w:rPr>
        <w:t>E. 7.2</w:t>
      </w:r>
    </w:p>
    <w:p>
      <w:r>
        <w:t>Vorliegend wiegt die Rechtsverletzung schwer und eine Heilung fällt nicht in Betracht. Die angefochtene Verfügung ist aufzuheben und die Sache zur vollständigen Sachverhaltsfeststellung (Einholen der erforderlichen Zusicherung der Rückübernahme der Beschwerdeführerin durch die zuständigen italienischen Behörden) sowie zu neuer Entscheidung an die Vorinstanz zurückzuweisen.</w:t>
      </w:r>
    </w:p>
    <w:p>
      <w:r>
        <w:rPr>
          <w:b/>
        </w:rPr>
        <w:t>E. 8</w:t>
      </w:r>
    </w:p>
    <w:p>
      <w:r>
        <w:t>Bei diesem Ausgang des Verfahrens sind keine Kosten zu erheben (Art. 63 Abs. 1 und 2 VwVG).</w:t>
      </w:r>
    </w:p>
    <w:p>
      <w:r>
        <w:rPr>
          <w:b/>
        </w:rPr>
        <w:t>E. 9</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