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E-5262/2019 vom 11. Dezember 2019</w:t>
      </w:r>
    </w:p>
    <w:p>
      <w:r>
        <w:t>Bundesverwaltungsgericht, 2019-12-11, DE</w:t>
      </w:r>
    </w:p>
    <w:p>
      <w:r>
        <w:rPr>
          <w:b/>
        </w:rPr>
        <w:t xml:space="preserve">Quelle: </w:t>
      </w:r>
      <w:r>
        <w:t>https://mcp.opencaselaw.ch/entscheid/bvger_E-5262_2019</w:t>
      </w:r>
    </w:p>
    <w:p>
      <w:r>
        <w:t>FR: TAF E-5262/2019 du 11 décembre 2019</w:t>
      </w:r>
    </w:p>
    <w:p>
      <w:r>
        <w:t>IT: TAF E-5262/2019 del 11 dicembre 2019</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Abs. 1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zu den praxisgemässen Anforderungen an das Glaubhaftmachen von Vorbringen BVGE 2015/3 E. 6.5.1 und 2012/5 E. 2.2).</w:t>
      </w:r>
    </w:p>
    <w:p>
      <w:r>
        <w:rPr>
          <w:b/>
        </w:rPr>
        <w:t>E. 5.1</w:t>
      </w:r>
    </w:p>
    <w:p>
      <w:r>
        <w:t>Die Vorinstanz kam in der angefochtenen Verfügung zum Schluss, die Vorbringen des Beschwerdeführers hielten den Anforderungen an die Glaubhaftigkeit gemäss Art. 7 AsylG nicht stand, so dass deren Asylrelevanz nicht geprüft werden müsse.</w:t>
      </w:r>
    </w:p>
    <w:p>
      <w:r>
        <w:rPr>
          <w:b/>
        </w:rPr>
        <w:t>E. 5.2</w:t>
      </w:r>
    </w:p>
    <w:p>
      <w:r>
        <w:t>Zur Begründung hielt sie fest, die Angaben des Beschwerdeführers zu seinen Inhaftierungen seien durchwegs oberflächlich und ausweichend gewesen. Er sei weder in der Lage gewesen darzulegen, wer der Freund seines Onkels gewesen sei, den er getroffen habe, noch wie sich das besagte Treffen genau abgespielt habe. Seinen Aussagen fehle es an Substanz. In Bezug auf seine erste Inhaftierung im Jahr 2012 habe er keinerlei detaillierte Angaben gemacht und auch seine Schilderung zur Haftentlassung sei unsubstantiiert ausgefallen. Sein oberflächliches Antwortverhalten vermittle den Eindruck, dass er das Geschilderte nicht selbst erlebt habe. Auf den Ort der zweiten Haft im Jahr 2013 angesprochen habe er lediglich stereotype und oberflächliche Antworten gegeben. Seine Schilderungen vermittelten den Eindruck als habe er sich dabei an allgemein bekannten Bildern eines Gefängnisses in Sri Lanka orientiert, weil er nicht auf selbst Erlebtes habe zurückgreifen können. Dass er für die zweite Entlassung mehr oder weniger dieselbe Situation wiedergegeben habe, erwecke mangels weiterer substantiierter Angaben den Eindruck, als rufe er auswendig Gelerntes ab. Auch nach Unterschieden zwischen den beiden Inhaftierungen gefragt, sei er nicht in der Lage gewesen, substantiierte Angaben zu machen. Auf Nachfrage hin habe er angegeben, er sei beim ersten Mal nicht intensiv verhört, beim zweiten Mal aber gefoltert worden und habe auch den Ort gewechselt. Im zweiten Raum seien Folterinstrumente vorhanden gewesen. Diesen Schilderungen fehle es gänzlich an erlebnisorientierten Details. Aufgrund dieser Unglaubhaftigkeitselemente und mangels weiterer konkreter Hinweise bestünden erhebliche Zweifel am Wahrheitsgehalt der geltend gemachten Hausdurchsuchung im Jahr 2015.</w:t>
      </w:r>
    </w:p>
    <w:p>
      <w:r>
        <w:rPr>
          <w:b/>
        </w:rPr>
        <w:t>E. 5.3</w:t>
      </w:r>
    </w:p>
    <w:p>
      <w:r>
        <w:t>In der Beschwerde wird dem entgegengehalten, der Hilfswerksvertreter habe an der Anhörung Anzeichen einer Traumatisierung des Beschwerdeführers beobachten können. Er sei «teilweise nervös und ängstlich» gewesen, die Hände hätten öfters gezittert, die Stimme sei gepresst und unsicher gewesen und bei den Fragen zur Haft scheine es ihm die Sprache verschlagen zu haben. Deshalb sei es dem Beschwerdeführer gar nicht möglich gewesen, klar und logisch auf die Fragen zu antworten. Die Schlussfolgerung des SEM, die Aussagen seien oberflächlich, sei ignorant, da gerade Personen, die gefoltert und verletzt worden seien, oft grosse Mühe hätten, über die Erlebnisse zu sprechen. Aus Selbstschutz und «Blockierung» habe der Beschwerdeführer seine Beziehung zum Bruder von «G._______» nicht erwähnt. Zudem habe die Vorinstanz kein psychiatrisches Gutachten eingeholt. Der Sachverhalt sei deshalb unrichtig erstellt. Die Aussagen des Beschwerdeführers seien im Übrigen konsistent und widerspruchsfrei gewesen.</w:t>
      </w:r>
    </w:p>
    <w:p>
      <w:r>
        <w:rPr>
          <w:b/>
        </w:rPr>
        <w:t>E. 6.1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Für das erstinstanzliche Asylverfahren bedeutet dies, dass das SEM zur richtigen und vollständigen Ermittlung und Feststellung des rechtserheblichen Sachverhalts verpflichtet ist und auch nach allen Elementen zu forschen hat, die zugunsten der asylsuchenden Person sprechen.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jedoch nicht verpflichtet, zu jedem Sachverhaltselement umfangreiche Nachforschungen anzustellen. Zusätzliche Abklärungen sind vielmehr nur dann vorzunehmen, wenn sie aufgrund der Aktenlage als angezeigt erscheinen. Alle erheblichen Parteivorbringen sind sodann zu prüfen und zu würdigen, wobei sich das Ergebnis der Würdigung in der Entscheidbegründung niederzuschlagen hat (vgl. Art. 29 Abs. 2 BV; Art. 35 Abs. 1 VwVG).</w:t>
      </w:r>
    </w:p>
    <w:p>
      <w:r>
        <w:rPr>
          <w:b/>
        </w:rPr>
        <w:t>E. 6.2</w:t>
      </w:r>
    </w:p>
    <w:p>
      <w:r>
        <w:t>Die Parteien haben gemäss Art. 29 VwVG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Mit dem Gehörsanspruch korreliert die Pflicht der Behörde,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7.1</w:t>
      </w:r>
    </w:p>
    <w:p>
      <w:r>
        <w:t>Der angefochtene Entscheid des SEM wird den genannten Kriterien nicht in der erforderlichen Weise gerecht. Die Vorinstanz hat es unterlassen, sich mit den Vorbringen des Beschwerdeführers hinreichend auseinanderzusetzen. Die Vorinstanz hielt lediglich fest, die vom Beschwerdeführer vorgebrachten beiden Verhaftungen und die Hausdurchsuchung bei seinen Eltern seien nicht glaubhaft, da er unsubstantiierte und nicht erlebnisorientierte Angaben gemacht habe. Gröbere Unstimmigkeiten hat sie dem Beschwerdeführer nicht vorgehalten. Wie in der Beschwerde zu Recht geltend gemacht wird, hat die zur Beobachtung eines fairen Verfahrens anwesende Hilfswerksvertretung im Anschluss an die Anhörung vermerkt, der Beschwerdeführer habe teilweise nervös und ängstlich gewirkt, seine Hände und Lippen hätten gezittert und seine Stimme gepresst und unsicher geklungen. Bei bestimmten Fragen scheine es ihm die Sprache verschlagen zu haben, er habe mit der Antwort gezögert und mehrheitlich eine geängstigte Reaktion gezeigt. Ferner habe er von andauernden Schmerzen berichtet. Die Hilfswerksvertretung vermutete aufgrund des Auftretens des Beschwerdeführers eine mögliche Traumatisierung und regte eine psychiatrische Abklärung an. Da die Vorinstanz dem Beschwerdeführer unsubstantiierte Aussagen vorhält, hätte sie sich bei der Würdigung seiner Vorbringen zwingend mit den Bemerkungen der Hilfswerksvertretung auseinandersetzen müssen. In der Beschwerde wird geltend gemacht, es gehe aus diesen Hinweisen hervor, dass es dem Beschwerdeführer nicht möglich gewesen sei, klar und nach «unserer» Logik auf die Fragen zu antworten. Gerade Menschen, die gefoltert und verletzt worden seien, hätten oft grosse Mühe, über die Erlebnisse zu sprechen. Wegen der in Fachkreisen bekannten Aussageblockierung von Folteropfern seien die Beobachtungen der Hilfswerksvertretung von zentraler Bedeutung für die Sachverhaltsabklärung. Der Beschwerdeführer gab ferner an, E._______ (ein Mitglied der LTTE und Freund seines Onkels) habe regelmässig seine Grossmutter besucht. Bei diesen Gelegenheiten habe er (der Beschwerdeführer) (...), habe ihm (...) und auch finanzielle Beiträge geleistet. Ferner sei der verschollene Onkel mütterlicherseits ein Kämpfer bei den LTTE gewesen. Er habe mit seiner Grossmutter einen Freund seines Onkels, ein ehemaliges Mitglied der LTTE, besucht, um Informationen über diesen Onkel zu erhalten. Deswegen sei er mitgenommen und befragt worden. Ferner führte er aus, er habe für die TNA (...) und (...). Ein Wahlkandidat sei eng mit einem seiner Cousins befreundet. Die Vorinstanz hat sich weder dazu geäussert, ob sie diese Ausführungen für glaubhaft halte noch hat sie deren Asylrelevanz geprüft. Weiter hat sie gänzlich unterlassen, zu prüfen, ob der Beschwerdeführer aufgrund risikobegründender Faktoren bei einer Rückkehr nach Sri Lanka der Gefahr einer Verfolgung im Sinne von Art. 3 AsylG ausgesetzt sein könnte. Spätestens bei dieser zwingend zu erfolgenden Prüfung der Risikofaktoren gemäss Referenzurteil des BVGer E-1866/2015 wären die oben genannten Vorbringen aber zu würdigen und das Ergebnis entsprechend in der Verfügung festzuhalten gewesen.</w:t>
      </w:r>
    </w:p>
    <w:p>
      <w:r>
        <w:rPr>
          <w:b/>
        </w:rPr>
        <w:t>E. 7.2</w:t>
      </w:r>
    </w:p>
    <w:p>
      <w:r>
        <w:t>Daraus ergibt sich, dass sich die Vorinstanz in der angefochtenen Verfügung nicht mit allen Vorbringen des Beschwerdeführers befasst hat, womit sie den Sachverhalt unvollständig respektive unrichtig festgestellt und damit den Anspruch auf rechtliches Gehör und insbesondere die Begründungspflicht verletzt hat.</w:t>
      </w:r>
    </w:p>
    <w:p>
      <w:r>
        <w:rPr>
          <w:b/>
        </w:rPr>
        <w:t>E. 8.1</w:t>
      </w:r>
    </w:p>
    <w:p>
      <w:r>
        <w:t>Eine Verletzung des rechtlichen Gehörs führt grundsätzlich - das heisst ungeachtet der materiellen Auswirkungen - zur Aufhebung der angefochtenen Verfügung. Eine Heilung der Gehörsverletzung aus prozessökonomischen Gründen auf Beschwerdeebene kommt vorliegend aufgrund der schweren Verfahrensverletzung nicht in Betracht, zumal dem Beschwerdeführer damit eine Prüfungsinstanz verloren ginge.</w:t>
      </w:r>
    </w:p>
    <w:p>
      <w:r>
        <w:rPr>
          <w:b/>
        </w:rPr>
        <w:t>E. 8.2</w:t>
      </w:r>
    </w:p>
    <w:p>
      <w:r>
        <w:t>Nach dem Gesagten ist die Beschwerde insofern gutzuheissen, als die vorinstanzliche Verfügung vom 9. September 2019 aufzuheben und die Angelegenheit zur vollständigen und korrekten Feststellung des rechtserheblichen Sachverhalts, sowie zu neuem Entscheid an die Vorinstanz zurückzuweisen ist. Angesichts dessen erübrigt es sich, auf die weiteren Vorbringen, Anträge und eingereichten Beweismittel einzugehen, weil sie ebenfalls Gegenstand des wiederaufzunehmenden erstinstanzlichen Verfahrens sein werden und die Vorinstanz sich damit zu befassen haben wird.</w:t>
      </w:r>
    </w:p>
    <w:p>
      <w:r>
        <w:rPr>
          <w:b/>
        </w:rPr>
        <w:t>E. 9.1</w:t>
      </w:r>
    </w:p>
    <w:p>
      <w:r>
        <w:t>Bei diesem Ausgang des Verfahrens sind keine Kosten zu erheben (Art. 63 Abs. 1 und 2 VwVG). Der am 11. November 2019 geleistete Kostenvorschuss im Betrag von Fr. 750. ist dem Beschwerdeführer zurückzuerstatten.</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keine Honorarnote eingereicht. Auf die Nachforderung einer solchen wird verzichtet, da sich der Gesamtaufwand für die Beschwerdeerhebung abschätzen lässt (Art. 14 Abs. 2 VGKE). Gestützt auf die in Betracht zu ziehenden Bemessungsfaktoren (Art. 9-13 VGKE) ist dem Beschwerdeführer zu Lasten des SEM eine pauschale Parteientschädigung von insgesamt Fr. 1'300.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