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E-5255/2020 vom 3. November 2020</w:t>
      </w:r>
    </w:p>
    <w:p>
      <w:r>
        <w:t>Bundesverwaltungsgericht, 2020-11-03, DE</w:t>
      </w:r>
    </w:p>
    <w:p>
      <w:r>
        <w:rPr>
          <w:b/>
        </w:rPr>
        <w:t xml:space="preserve">Quelle: </w:t>
      </w:r>
      <w:r>
        <w:t>https://mcp.opencaselaw.ch/entscheid/bvger_E-5255_2020</w:t>
      </w:r>
    </w:p>
    <w:p>
      <w:r>
        <w:t>FR: TAF E-5255/2020 du 3 novembre 2020</w:t>
      </w:r>
    </w:p>
    <w:p>
      <w:r>
        <w:t>IT: TAF E-5255/2020 del 3 novembre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Der nach dieser Verordnung zuständige Mitgliedstaat ist verpflichtet, eine antragstellende Person, die während der Prüfung ihres Antrags in einem anderen Mitgliedstaat einen Antrag gestellt hat oder die sich im Hoheitsgebiet eines anderen Mitgliedstaats ohne Aufenthaltstitel aufhält, nach Massgabe der Art. 23, 24, 25 und 29 wieder aufzunehmen (Art. 18 Abs. 1 Bst. b Dublin-III-VO und Art. 20 Abs. 5 UAbs. 1 Dublin-III-VO). Diese Pflicht erlischt, wenn der Mitgliedstaat, der das Verfahren zur Bestimmung des zuständigen Mitgliedstaats abschliessen soll, nachweisen kann, dass die antragstellende Person zwischenzeitlich das Hoheitsgebiet der Mitgliedstaaten für mindestens drei Monate verlassen oder in einem anderen Mitgliedstaat einen Aufenthaltstitel erhalten hat (Art. 20 Abs. 5 UAbs. 2 Dublin-III-VO). Ein nach einem solchen Abwesenheitszeitraum gestellter Antrag im Sinne von Art. 20 Abs. 5 UAbs. 2 Dublin-III-VO gilt als neuer Antrag, der ein neues Verfahren zur Bestimmung des zuständigen Mitgliedstaats auslöst (Art. 20 Abs. 5 UAbs. 3 Dublin-III-VO).</w:t>
      </w:r>
    </w:p>
    <w:p>
      <w:r>
        <w:rPr>
          <w:b/>
        </w:rPr>
        <w:t>E. 4.4</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Im genannten Urteil hielt das Bundesverwaltungsgericht fest, die Rechtsprechung des Gerichtshofs der Europäischen Union (EuGH) zur Dublin-III-VO impliziere, dass es asylsuchenden Personen in Beschwerdeverfahren gegen Dublin-Überstellungsentscheide möglich sein müsse, die falsche Anwendung sämtlicher zur Feststellung der Zuständigkeit beitragenden Bestimmungen der Dublin-III-VO zu rügen. Dies gelte auch dann, wenn der ersuchte Mitgliedstaat einem Aufnahme- oder Wiederaufnahmeersuchen zugestimmt habe (E. 5.1-5.2).</w:t>
      </w:r>
    </w:p>
    <w:p>
      <w:r>
        <w:rPr>
          <w:b/>
        </w:rPr>
        <w:t>E. 5.1</w:t>
      </w:r>
    </w:p>
    <w:p>
      <w:r>
        <w:t>Vorliegend ist zu prüfen, ob das am 7. September 2020 in der Schweiz gestellte Asylgesuch - angesichts des vom Beschwerdeführer behaupteten zwischenzeitlichen Aufenthalts in der Türkei einen neuen Antrag im Sinne von Art. 20 Abs. 5 UAbs. 3 (i.V.m. UAbs. 2) Dublin-III-VO darstellt. Das SEM vertrat gegenüber den österreichischen Behörden die Auffassung, dass ohne gegenteiligen Nachweis der österreichischen Behörden davon ausgegangen werden müsse, dass sich der Beschwerdeführer zwischen dem 5. Juli 2019 und seinem Asylgesuch in der Schweiz vom 7. September 2020 - auch nach der Entlassung aus der Haft - ständig in Österreich aufgehalten habe. Von der lediglich behaupteten Ausreise habe der Beschwerdeführer keine Belege eingereicht und auch keine Details zu seinem Reiseweg angegeben. Für das Fehlen eines Nachweises könne die Schweiz nicht verantwortlich gemacht werden, seien doch negative Tatsachen nicht vom ersuchenden Mitgliedstaat zu beweisen, sondern die Folgen dieser Beweislosigkeit habe vielmehr vorliegend Österreich zu tragen. Um zu beurteilen, ob diese Einschätzung des SEM zutrifft, ist zunächst zu klären, welches Beweismass beim Nachweis an die geltend gemachte Rückkehr in die Türkei und den mindestens dreimonatigen Aufenthalt anzusetzen ist.</w:t>
      </w:r>
    </w:p>
    <w:p>
      <w:r>
        <w:rPr>
          <w:b/>
        </w:rPr>
        <w:t>E. 5.2</w:t>
      </w:r>
    </w:p>
    <w:p>
      <w:r>
        <w:t>In BVGE 2015/41 (E. 7-7.3,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 In dieser Hinsicht einschlägig sind die Beweiswürdigungsbestimmungen von Art. 22 Abs. 2 ff. Dublin-III-VO, welche festlegen, dass im Verfahren zur Bestimmung des zuständigen Dublin-Staates Beweismittel und Indizien verwendet werden (Abs. 2), die sodann den Begriff der Beweismittel und der Indizien definieren und feststellen, dass eine Durchführungsverordnung die sachdienlichen Beweismittel und Indizien festlegen soll (Abs. 3; vgl.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[Dublin-II-VO]). Liegen keine förmlichen Beweismittel gemäss Art. 22 Abs. 3 Bst. a/i Dublin-III-VO vor, hat der ersuchte Mitgliedstaat gemäss Art. 22 Abs. 5 Dublin-III-VO seine Zuständigkeit anzuerkennen, wenn die Indizien im Sinne von Art. 22 Abs. 3 Bst. b/i Dublin-III-VO kohärent, nachprüfbar und hinreichend detailliert sind. Anhang II, Verzeichnis A: Kapitel II.3. der Durchführungsverordnung listet die Beweismittel, Anhang II, Verzeichnis B: Kapitel II.3. mögliche Indizien für eine Ausreise aus dem Hoheitsgebiet der Mitgliedstaaten auf. Schliesslich bestimmt Art. 22 Abs. 4 Dublin-III-VO, dass das Beweiserfordernis nicht über das für die ordnungsgemässe Anwendung dieser Verordnung erforderliche Mass hinausgehen soll und legt damit, soweit für das Funktionieren des Dublin-Systems notwendig, - wie bereits zuvor erwähnt - ein reduziertes Beweismass fest.</w:t>
      </w:r>
    </w:p>
    <w:p>
      <w:r>
        <w:rPr>
          <w:b/>
        </w:rPr>
        <w:t>E. 5.3</w:t>
      </w:r>
    </w:p>
    <w:p>
      <w:r>
        <w:t>Im vorliegenden Verfahren reichte der Beschwerdeführer keine Beweismittel gemäss Art. 22 Abs. 3 Bst. a/i Dublin-III-VO in Verbindung mit Anhang II, Verzeichnis A: Kapitel II.3. der Durchführungsverordnung ein. Seine Vorbringen und die von ihm auf Beschwerdeebene eingereichten Dokumente (verschiedene Strom- und Wasserabrechnungen aus der Türkei betreffend den Zeitraum April 2020 bis August 2020 in Kopie) stellen höchstens Indizien im Sinne von Art. 22 Abs. 3 Bst. b/i Dublin-III-VO in Verbindung mit Anhang II, Verzeichnis B: Kapitel II.3. der Durchführungsverordnung dar, die mit Blick auf die Frage der Plausibilität seiner geltend gemachten Rückkehr in die Türkei in ihrer Gesamtheit zu würdigen sind.</w:t>
      </w:r>
    </w:p>
    <w:p>
      <w:r>
        <w:rPr>
          <w:b/>
        </w:rPr>
        <w:t>E. 5.4</w:t>
      </w:r>
    </w:p>
    <w:p>
      <w:r>
        <w:t>Die vom Beschwerdeführer auf Beschwerdeebene (fremdsprachigen und ohne Übersetzung in eine Amtssprache) nachgereichten Unterlagen sind augenscheinlich ungeeignet eine Ausreise in die Türkei beziehungsweise einen mehrmonatigen (illegalen) Aufenthalt in der Türkei auszuweisen. Hierzu im Einzelnen folgendes:</w:t>
      </w:r>
    </w:p>
    <w:p>
      <w:r>
        <w:rPr>
          <w:b/>
        </w:rPr>
        <w:t>E. 5.4.1</w:t>
      </w:r>
    </w:p>
    <w:p>
      <w:r>
        <w:t>Vorab ist festzuhalten, dass die eingereichten Rechnungsbelege nur in Form blosser Fotographien vorliegen. Eine valide Überprüfung deren Authentizität ist hierdurch kaum möglich, so dass der Beweiswert dieser Unterlagen bereits aus diesem Grund eingeschränkt ist.</w:t>
      </w:r>
    </w:p>
    <w:p>
      <w:r>
        <w:rPr>
          <w:b/>
        </w:rPr>
        <w:t>E. 5.4.2</w:t>
      </w:r>
    </w:p>
    <w:p>
      <w:r>
        <w:t>Inhaltlich ist in Bezug auf die eingereichten Unterlagen festzustellen, dass die auf den angeblichen Stromrechnungen aufgeführte Adresse ([...]) offenkundig nicht mit jener Adresse übereinstimmt, die der Beschwerdeführer anlässlich der BA vom 11. August 2020 als seine letzte Wohnadresse (vgl. Antwort zu Frage 2.02: [...]) angegeben hat. Vor dem Hintergrund, dass die eingereichten Dokumente angeblich auf den Namen des Beschwerdeführers lautende Stromrechnungen für seine Wohnung in der Türkei darstellen sollen, sind diese Unstimmigkeiten nicht nachvollziehbar. Zusätzlich stimmt die auf den Stromrechnungen aufgeführte Adresse auch nicht mit jener Anschrift überein, die auf den übrigen beiden handschriftlichen - ohne weitere Erläuterungen eingereichten fremdsprachigen - Dokumenten aufgeführt ist, die der Beschwerdeführer auf Beschwerdestufe eingereicht hat.</w:t>
      </w:r>
    </w:p>
    <w:p>
      <w:r>
        <w:rPr>
          <w:b/>
        </w:rPr>
        <w:t>E. 5.4.3</w:t>
      </w:r>
    </w:p>
    <w:p>
      <w:r>
        <w:t>In Bezug auf den Beweiswert der eingereichten Rechnungen ist weiter darauf hinzuweisen, dass diese ungeeignet sind eine physische Anwesenheit einer bestimmten Person zu belegen. Abgesehen vom voranstehenden Umstand, dass die entsprechenden Rechnungsbelege mutmasslich gar nicht die Adresse der Wohnung des Beschwerdeführers betreffen, können die aufgeführten Kosten auch ohne das Zutun einer bestimmten Person entstehen (Grundgebühren, wiederkehrende Kosten, etc.) oder können auch ganz einfach durch Dritte begründet worden sein. Eine Anwesenheit einer bestimmten Person könnten die entsprechenden Dokumente somit nicht ausweisen.</w:t>
      </w:r>
    </w:p>
    <w:p>
      <w:r>
        <w:rPr>
          <w:b/>
        </w:rPr>
        <w:t>E. 5.4.4</w:t>
      </w:r>
    </w:p>
    <w:p>
      <w:r>
        <w:t>Zusätzlich fällt in casu das Fehlen sonstiger Dokumente ins Auge. Belege, Urkunden, Korrespondenzen oder anderweitige personalisierte Dokumente, die auf eine Anwesenheit des Beschwerdeführers schliessen liessen, fehlen vollständig. Dies erscheint wenig lebensnah. Personen, die für längere Zeit an einem bestimmten Orten leben, gelangen während dieser Zeit gemeinhin im Alltag in den Besitz einer Vielzahl verschiedenartiger Belege, die mit ihrer Anwesenheit an diesem Ort in Verbindung gebracht werden können. Entsprechendes fehlt in casu jedoch gänzlich.</w:t>
      </w:r>
    </w:p>
    <w:p>
      <w:r>
        <w:rPr>
          <w:b/>
        </w:rPr>
        <w:t>E. 5.5</w:t>
      </w:r>
    </w:p>
    <w:p>
      <w:r>
        <w:t>Letztlich ist ergänzend darauf hinzuweisen, dass die Schilderungen des Beschwerdeführers zu seiner angeblichen Reise in die Türkei beziehungsweise von der Türkei in die Schweiz auffallend unbestimmt ausgefallen sind und keinerlei nähre Angaben zu Ort, Route und Zeit beinhalten. Der Beschwerdeführer bringt hierzu lediglich allgemein vor, er sei von Österreich in einem LKW versteckt in die Türkei gereist und sei einige Monate später wiederum in einem LKW versteckt in die Schweiz gereist. Weitergehende Angaben vermochte er nicht zu machen. Auch dieses - gerade für eine aus einem europäischen Land stammende Person - ungewöhnliche geographische Unwissen lässt sich kaum mit der Behauptung in Einklang bringen, der Beschwerdeführer sei in den vergangenen Monaten in die Türkei zurückgekehrt und sodann von dort aus in die Schweiz gereist.</w:t>
      </w:r>
    </w:p>
    <w:p>
      <w:r>
        <w:rPr>
          <w:b/>
        </w:rPr>
        <w:t>E. 5.6</w:t>
      </w:r>
    </w:p>
    <w:p>
      <w:r>
        <w:t>Insgesamt ist vor dem Hintergrund des geringen Beweiswertes der eingereichten Unterlagen; deren inhaltlicher Unstimmigkeiten; deren fehlender Eignung, die Präsenz einer bestimmten Person an einem bestimmten Ort zu belegen; sowie der fehlenden Glaubhaftigkeit der behaupteten Reise festzuhalten, dass es dem Beschwerdeführer - auch in Berücksichtigung des im Rahmen der Dublin-III-VO anzuwendenden reduzierten Beweismasses - augenscheinlich nicht gelungen ist, den behaupteten Aufenthalt in der Türkei für die behauptete Zeitdauer nachzuweisen.</w:t>
      </w:r>
    </w:p>
    <w:p>
      <w:r>
        <w:rPr>
          <w:b/>
        </w:rPr>
        <w:t>E. 5.7</w:t>
      </w:r>
    </w:p>
    <w:p>
      <w:r>
        <w:t>Nach dem Gesagten ist die Zuständigkeit Österreichs gestützt auf Art. 20 Abs. 5 UAbs. 2 Dublin-III-VO nicht erloschen und das am 7. September 2020 in der Schweiz gestellte Asylgesuch stellt keinen neuen Antrag im Sinne von Art. 20 Abs. 5 UAbs. 3 Dublin-III-VO dar, der ein neues Verfahren zur Bestimmung des zuständigen Mitgliedstaates auslöst.</w:t>
      </w:r>
    </w:p>
    <w:p>
      <w:r>
        <w:rPr>
          <w:b/>
        </w:rPr>
        <w:t>E. 5.8</w:t>
      </w:r>
    </w:p>
    <w:p>
      <w:r>
        <w:t>Im Weiteren ist mit dem SEM festzustellen, dass Österreich gemäss Art. 18 Abs. 1 Bst. Dublin-III-VO auch nach Abschluss des Asylverfahrens bis zu einem allfälligen Wegweisungsvollzug oder einer allfälligen Regelung des Aufenthaltsstatus zuständig bleibt.</w:t>
      </w:r>
    </w:p>
    <w:p>
      <w:r>
        <w:rPr>
          <w:b/>
        </w:rPr>
        <w:t>E. 6.1</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6.2</w:t>
      </w:r>
    </w:p>
    <w:p>
      <w:r>
        <w:t>Der Beschwerdeführer hat kein konkretes und ernsthaftes Risiko dargetan, dass die österreichischen Behörden in seinem Fall den erwähnten völkerrechtlichen Verpflichtungen nicht nachkommen würden. Insbesondere gibt es keine Hinweise, dass die Behandlung seines Asylgesuchs mangelhaft gewesen und seine Wegweisung in Verletzung des Non-Refoulement-Verbots verfügt worden sein könnte.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Die Überstellung des Beschwerdeführers nach Österreich führt gemäss den Akten nicht zu einer Kettenabschiebung, die gegen das Non-Refoulement-Prinzip verstossen würde, wie es in Art. 33 FK verankert ist (und sich ausserdem aus Art. 4 der EU-Grundrechtecharta, Art. 3 EMRK oder Art. 3 FoK ableiten lässt).</w:t>
      </w:r>
    </w:p>
    <w:p>
      <w:r>
        <w:rPr>
          <w:b/>
        </w:rPr>
        <w:t>E. 6.3</w:t>
      </w:r>
    </w:p>
    <w:p>
      <w:r>
        <w:t>Die Frage der Anwendung der Souveränitätsklausel aus humanitären Gründen gestützt auf Art. 29a Abs. 3 AsylV 1 ist ins Dublinverfahren eingebettet. Dieses betrifft lediglich die Frage, ob auf ein Asylgesuch eingetreten wird oder ob die gesuchstellende Person in einen Drittstaat ausreisen kann, der gemäss der Dublin-III-VO für die Durchführung des Asyl- und Wegweisungsverfahrens zuständig ist. In diesem Zusammenhang werden die Entscheide anderer Vertragsstaaten sowohl mit Blick auf die materielle Beurteilung der Asylgründe als auch mit Blick auf die Zulässigkeit bzw. Zumutbarkeit des Wegweisungsvollzugs in den Herkunfts- oder Heimatstaat anerkannt, ohne dass sie in der Sache hinterfragt würden. Der Beschwerdeführer kann demnach aufgrund einer allenfalls unterschiedlichen Einschätzung im Rahmen des materiellen Asylverfahrens nicht erwirken, dass die Vorinstanz einen Selbsteintritt aus humanitären Gründen prüfen muss (vgl. Urteil des BVGer F-2530/2017 vom 15. Mai 2017 E. 9.2 m.H.).</w:t>
      </w:r>
    </w:p>
    <w:p>
      <w:r>
        <w:rPr>
          <w:b/>
        </w:rPr>
        <w:t>E. 6.4</w:t>
      </w:r>
    </w:p>
    <w:p>
      <w:r>
        <w:t>Betreffend das rechtliche Gehör gab der Beschwerdeführer an, in Österreich sei er wegen Falschaussagen und des Verdachts, Mitglied einer Terrororganisation zu sein, einen Monat und 15 Tage in Haft gewesen. Dieser Verdacht habe sich nicht bestätigt und er sei wieder freigelassen worden. Hierzu ist mit dem SEM festzuhalten, dass es Österreich freisteht, Personen im Einklang der nationalen Gesetzgebung und dem anwendbaren Völkerrecht zu inhaftieren. Österreich ist ein funktionierender Rechtsstaat und der Beschwerdeführer hat die Möglichkeit, sich, sollte er sich ungerecht oder rechtswidrig behandelt fühlen, bei der zuständigen Stelle Beschwerde einreichen.</w:t>
      </w:r>
    </w:p>
    <w:p>
      <w:r>
        <w:rPr>
          <w:b/>
        </w:rPr>
        <w:t>E. 6.5</w:t>
      </w:r>
    </w:p>
    <w:p>
      <w:r>
        <w:t>Was die gesundheitlichen Beschwerden des Beschwerdeführers betrifft, so ist festzuhalten, dass sich gemäss dem von der Rechtsvertretung eingereichten medizinischem Datenblatt des Bundesaslyzentrums (BAZ) ein Tuberkuloseverdacht nicht bestätigt und ein Thoraxbild nur narbige Veränderung gezeigt habe. Österreich verfügt über eine ausreichende medizinische Infrastruktur, weshalb sich der Beschwerdeführer im Bedarfsfall an das dafür zuständige medizinische Fachpersonal wenden kann. Die Mitgliedstaaten sind verpflichtet, den Antragstellern die erforderliche medizinische Versorgung, die zumindest die Notversorgung und die unbedingt erforderliche Behandlung von Krankheiten und schweren psychischen Störungen umfasst, zugänglich zu machen (Art. 19 Abs. 1 der Aufnahmerichtlinie).</w:t>
      </w:r>
    </w:p>
    <w:p>
      <w:r>
        <w:rPr>
          <w:b/>
        </w:rPr>
        <w:t>E. 6.6</w:t>
      </w:r>
    </w:p>
    <w:p>
      <w:r>
        <w:t>Zusammenfassend ist festzuhalten, dass kein Grund für die Anwendung der Ermessensklausen von Art. 17 Dublin-III-VO oder von Art. Art. 29a Abs. 3 AsylV 1 vorliegen. Österreich bleibt somit zuständiger Mitgliedstaat gemäss Dublin-III-VO und ist verpflichtet, den Beschwerdeführer wiederaufzunehmen.</w:t>
      </w:r>
    </w:p>
    <w:p>
      <w:r>
        <w:rPr>
          <w:b/>
        </w:rPr>
        <w:t>E. 7</w:t>
      </w:r>
    </w:p>
    <w:p>
      <w:r>
        <w:t>Das SEM ist demnach zu Recht in Anwendung von Art. 31a Abs. 1 Bst. b AsylG auf das Asylgesuch nicht eingetreten und hat - weil der Beschwerdeführer nicht im Besitz einer gültigen Aufenthalts- oder Niederlassungsbewilligung ist - in Anwendung von Art. 44 AsylG die Überstellung nach Österreich angeordnet. Die Beschwerde ist demzufolge abzuweisen.</w:t>
      </w:r>
    </w:p>
    <w:p>
      <w:r>
        <w:rPr>
          <w:b/>
        </w:rPr>
        <w:t>E. 8.1</w:t>
      </w:r>
    </w:p>
    <w:p>
      <w:r>
        <w:t>Mit dem vorliegenden Urteil wird das Gesuch um Verzicht auf das Erheben eines Kostenvorschusses gegenstandslos.</w:t>
      </w:r>
    </w:p>
    <w:p>
      <w:r>
        <w:rPr>
          <w:b/>
        </w:rPr>
        <w:t>E. 8.2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