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E-5253/2011 vom 13. Oktober 2011</w:t>
      </w:r>
    </w:p>
    <w:p>
      <w:r>
        <w:t>Bundesverwaltungsgericht, 2011-10-13, FR</w:t>
      </w:r>
    </w:p>
    <w:p>
      <w:r>
        <w:rPr>
          <w:b/>
        </w:rPr>
        <w:t xml:space="preserve">Quelle: </w:t>
      </w:r>
      <w:r>
        <w:t>https://mcp.opencaselaw.ch/entscheid/bvger_E-5253_2011</w:t>
      </w:r>
    </w:p>
    <w:p>
      <w:r>
        <w:t>FR: TAF E-5253/2011 du 13 octobre 2011</w:t>
      </w:r>
    </w:p>
    <w:p>
      <w:r>
        <w:t>IT: TAF E-5253/2011 del 13 ottobre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fait valoir, comme motif de sa demande d'asile en Suisse, les menaces de mort, prétendument proférées à son encontre par son père en raison de son refus de le remplacer à la tête de la société "Bouti".</w:t>
      </w:r>
    </w:p>
    <w:p>
      <w:r>
        <w:rPr>
          <w:b/>
        </w:rPr>
        <w:t>E. 3.2</w:t>
      </w:r>
    </w:p>
    <w:p>
      <w:r>
        <w:t>A titre liminaire, il convient de constater que le recourant ne fait valoir, à l'appui de sa demande, aucun motif pertinent en matière d'asile ; en particulier, il n'allègue aucun risque de persécution au Gabon, en raison d'un des motifs exhaustivement énumérés par l'art. 3 al. 1 LAsi. En l'espèce, l'intéressé se plaint uniquement d'un conflit familial entre lui et son père, en l'occurrence sans signification pour l'octroi de protection en matière d'asile.</w:t>
      </w:r>
    </w:p>
    <w:p>
      <w:r>
        <w:rPr>
          <w:b/>
        </w:rPr>
        <w:t>E. 3.3</w:t>
      </w:r>
    </w:p>
    <w:p>
      <w:r>
        <w:t>Indépendamment de sa pertinence ou non, le récit de l'intéressé ne parvient pas à convaincre. Général et sommaire, dépourvu de détails significatifs d'une expérience réellement vécue, il frappe par son manque de substance. Le recourant qui aurait assisté aux rassemblements "Bouti" pendant deux ans ne parvient pas à les décrire - il affirme uniquement qu'il s'agit d'un regroupement des gens s'adonnant à des pratiques rituelles diverses : danses et peintures sur le corps. Les propos de l'intéressé concernant sa relation avec son père sont également inconsistants. Lui qui aurait fréquenté son parent depuis trois ans n'est pas en mesure de fournir des informations détaillées sur lui, notamment en ce qui concerne son emploi et sa situation matérielle. Force est en conséquence de constater qu'à défaut d'être étayé par un moyen de preuve quelconque, le discours de l'intéressé, dans son ensemble, ne contient aucun élément permettant de le considérer comme vraisemblable. A cela s'ajoute le fait que la description du voyage est stéréotypée, imprécise et manque considérablement de substance. Elle est par ailleurs improbable. L'affirmation selon laquelle un inconnu, rencontré dans une rue de Paris, aurait financé son voyage en Suisse n'est pas convaincante. Contraire à l'expérience de vie, elle ne fait que renforcer l'appréciation selon laquelle les propos de l'intéressé ne sont pas crédibles.</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Dans le cas d'espèce,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le recourant n'a pas démontré l'existence d'un risque réel, fondé sur des motifs sérieux et avérés, d'être exposé, en cas de retour dans son pays d'origine, à des traitements prohibés.</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le Gabon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que le recourant est jeune, sans charge familiale et, contrairement à ses allégations, sans graves problèmes de santé. Sur ce dernier point, il convient de souligner que le certificat médical, établi le 5 octobre 2011, prouve uniquement que l'intéressé a consulté un ophtalmologue, le 18 octobre 2010, pour une pinguécula bilatérale, une affection bénigne des yeux. Aucun élément du dossier ne permet de déceler l'existence d'un problème de santé sérieux qui pourrait faire obstacle à l'exécution du renvoi. A la rigueur, l'affection bénigne dont souffre le recourant pourra être soignée dans son pays d'origine.</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9.1</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(cf. art. 111a al. 1 LAsi).</w:t>
      </w:r>
    </w:p>
    <w:p>
      <w:r>
        <w:rPr>
          <w:b/>
        </w:rPr>
        <w:t>E. 11</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12.Dans la mesure où il est statué immédiatement au fond, la demande, formulée dans le recours, tendant à la dispense d'avance de frais de procédure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