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E-5252/2017 vom 27. September 2017</w:t>
      </w:r>
    </w:p>
    <w:p>
      <w:r>
        <w:t>Bundesverwaltungsgericht, 2017-09-27, DE</w:t>
      </w:r>
    </w:p>
    <w:p>
      <w:r>
        <w:rPr>
          <w:b/>
        </w:rPr>
        <w:t xml:space="preserve">Quelle: </w:t>
      </w:r>
      <w:r>
        <w:t>https://mcp.opencaselaw.ch/entscheid/bvger_E-5252_2017</w:t>
      </w:r>
    </w:p>
    <w:p>
      <w:r>
        <w:t>FR: TAF E-5252/2017 du 27 septembre 2017</w:t>
      </w:r>
    </w:p>
    <w:p>
      <w:r>
        <w:t>IT: TAF E-5252/2017 del 27 settembre 2017</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richtet sich vorliegend gegen eine Verfügung, mit der auf ein Wiedererwägungsgesuch im Rahmen des Dublin-Verfahrens nicht eingetreten wurde. Im Beschwerdeverfahren ist folglich nur zu prüfen, ob die Vorinstanz zu recht auf das Wiedererwägungsgesuch nicht eingetreten ist.</w:t>
      </w:r>
    </w:p>
    <w:p>
      <w:r>
        <w:rPr>
          <w:b/>
        </w:rPr>
        <w:t>E. 2.3</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4</w:t>
      </w:r>
    </w:p>
    <w:p>
      <w:r>
        <w:t>Die Vorinstanz stellte im Rahmen des Wiedererwägungsverfahrens mit Schreiben vom 28. Juli 2017 fest, eine "Vaterschaftsanerkennung" könne auch im Ausland abgewartet werden (SEM-Akten, B2, S. 1). Diese wurde indes bereits im Wiedererwägungsgesuch vom 26. Juli 2017 angekündigt und am 16. August 2017 - vor Erlass der angefochtenen Verfügung - festgestellt. Gleichzeitig wurde die Betreuung des Kindes (Beschwerdeführer) zu gleichen Teilen durch die Mutter und den Vater geregelt. Spätestens nach der erfolgten Vaterschaftsanerkennung hätte die Vorinstanz auf das Wiedererwägungsgesuch eintreten und sich zu ihrer Feststellung, es könne eine Vaterschaftsanerkennung auch im Ausland abgewartet werden, äussern müssen. Ferner wurde bereits eine Tochter von Herrn C._______ - gestützt auf Art. 51 AsylG - als Flüchtling in der Schweiz anerkannt. Auch aufgrund der Formulierung des Wiedererwägungsgesuchs ("abgeleitete Flüchtlingseigenschaft", "Familienasyl") und der im Wiedererwägungsgesuch zitierten Normen, wäre eine Auseinandersetzung beispielsweise mit Art. 8 der Konvention vom 4. November 1950 zum Schutze der Menschenrechte und Grundfreiheiten (EMRK, SR 0.101) oder Art. 51 AsylG zu erwarten. Hinzu kommt, dass die Präambel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die Einheit der Familie sowie das Wohl des Kindes besonderes hervorhebt und mithin eine Erläuterung zur Dublin-Praxis beziehungsweise zur Trennung des Sohnes vom Vater impliziert. Vor diesem Hintergrund ist die Vorinstanz zu Unrecht von der Aussichtslosigkeit des Wiedererwägungsgesuchs ausgegangen und sodann auf dieses nicht eingetreten. Sie hätte - spätestens nach Kenntnisnahme der Vaterschaftsanerkennung inklusive Betreuungsregelung - auf das Wiedererwägungsgesuch eintreten und dessen Ablehnung begründen müssen.</w:t>
      </w:r>
    </w:p>
    <w:p>
      <w:r>
        <w:rPr>
          <w:b/>
        </w:rPr>
        <w:t>E. 5</w:t>
      </w:r>
    </w:p>
    <w:p>
      <w:r>
        <w:t>Nach dem Gesagten ist die Beschwerde gutzuheissen und die vorinstanzliche Verfügung vom 4. September 2017 in Anwendung von Art. 61 Abs. 1 in fine VwVG zur vollständigen und richtigen Sachverhaltsermittlung und Neubeurteilung im Sinne der Erwägungen an die Vorinstanz zurückzuweisen.</w:t>
      </w:r>
    </w:p>
    <w:p>
      <w:r>
        <w:rPr>
          <w:b/>
        </w:rPr>
        <w:t>E. 6.1</w:t>
      </w:r>
    </w:p>
    <w:p>
      <w:r>
        <w:t>Bei diesem Ausgang des Verfahrens sind keine Kosten zu erheben (Art. 63 Abs. 1 und 2 VwVG), womit das Gesuch um Gewährung der unentgeltlichen Rechtspflege hinfällig wird.</w:t>
      </w:r>
    </w:p>
    <w:p>
      <w:r>
        <w:rPr>
          <w:b/>
        </w:rPr>
        <w:t>E. 6.2</w:t>
      </w:r>
    </w:p>
    <w:p>
      <w:r>
        <w:t>Die Beschwerdeführenden haben angesichts ihres Obsiegens in Anwendung von Art. 64 VwVG und Art. 7 des Reglements vom 21. Februar 2008 über die Kosten und Entschädigungen vor dem Bundesverwaltungsgericht (VGKE, SR 173.320.2) grundsätzlich Anspruch auf eine Entschädigung für die ihnen notwendigerweise erwachsenen und verhältnismässig hohen Parteikosten. Sie sind jedoch auf Beschwerdestufe nicht rechtsvertreten und es sind auch keine anderen verhältnismässig hohen Kosten ersichtlich, die ihnen durch die Beschwerdeführung entstanden sein könnten. Somit besteht kein Anlass zur Ausrichtung einer Parteientschädigung.</w:t>
      </w:r>
    </w:p>
    <w:p>
      <w:r>
        <w:rPr>
          <w:b/>
        </w:rPr>
        <w:t>E. 6.3</w:t>
      </w:r>
    </w:p>
    <w:p>
      <w:r>
        <w:t>Mit vorliegendem Urteil ist das Gesuch um Gewährung der unentgeltlichen Rechtsverbeiständung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