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E-5251/2019 vom 2. Dezember 2019</w:t>
      </w:r>
    </w:p>
    <w:p>
      <w:r>
        <w:t>Bundesverwaltungsgericht, 2019-12-02, DE</w:t>
      </w:r>
    </w:p>
    <w:p>
      <w:r>
        <w:rPr>
          <w:b/>
        </w:rPr>
        <w:t xml:space="preserve">Quelle: </w:t>
      </w:r>
      <w:r>
        <w:t>https://mcp.opencaselaw.ch/entscheid/bvger_E-5251_2019</w:t>
      </w:r>
    </w:p>
    <w:p>
      <w:r>
        <w:t>FR: TAF E-5251/2019 du 2 décembre 2019</w:t>
      </w:r>
    </w:p>
    <w:p>
      <w:r>
        <w:t>IT: TAF E-5251/2019 del 2 dicembre 2019</w:t>
      </w:r>
    </w:p>
    <w:p>
      <w:pPr>
        <w:pStyle w:val="Heading2"/>
      </w:pPr>
      <w:r>
        <w:t>Regeste</w:t>
      </w:r>
    </w:p>
    <w:p>
      <w:r>
        <w:t>Asyl und Wegweisung</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In der Beschwerde werden (teilweise sinngemäss)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In der Rechtsmitteleingabe wird geltend gemacht, anlässlich der Anhörung habe die Hilfswerkvertretung festgestellt, der Beschwerdeführer leide an psychischen Problemen, weshalb ein Arztbericht anzufordern sei. Die Vorinstanz habe in der Folge jedoch diesbezüglich keine weiteren Abklärungen vorgenommen. Der Beschwerdeführer selber gab zu Beginn der Anhörung zu Protokoll, es gehe ihm gut, er sei aber vergesslich geworden und wegen der Anhörung aufgeregt. Sein Hausarzt habe ihm einen Termin bei der Psychiatrie organisiert, welchen er bald wahrnehmen werde (vgl. SEM-Akten A21/13 F5 ff.). Dazu ist festzuhalten, dass die Befragungsfähigkeit von Personen mit psychischen Problemen praxisgemäss nicht per se zu verneinen ist (vgl. Urteil des BVGer E-3410/2017 vom 22. März 2019 E. 9.1.3). Zudem ergibt sich aus der Lektüre der Befragungsprotokolle, dass der Beschwerdeführer durchaus in der Lage war, sich ohne Probleme zu artikulieren. Aufgrund des blossen Hinweises auf eine demnächst stattfindende psychiatrische Abklärung sowie der offensichtlich daraus gezogenen Schlussfolgerung der Hilfswerksvertretung, der Beschwerdeführer leide an psychischen Problemen, war die Vorinstanz nicht gehalten, den Gesundheitszustand beziehungsweise die Befragungsfähigkeit des Beschwerdeführers abzuklären. Im Übrigen hat der Beschwerdeführer bis heute kein ärztliches Zeugnis eingereicht. Es ist demnach festzuhalten, dass die Führung der Anhörung durch die Vorinstanz nicht zu beanstanden ist und in diesem Punkt keine Verletzung von Verfahrensrechten festzustellen sind.</w:t>
      </w:r>
    </w:p>
    <w:p>
      <w:r>
        <w:rPr>
          <w:b/>
        </w:rPr>
        <w:t>E. 5.4</w:t>
      </w:r>
    </w:p>
    <w:p>
      <w:r>
        <w:t>Weiter wird in der Rechtsmitteleingabe moniert, beim befragenden Sachbearbeiter und dem Verfasser der negativen Verfügung handle es sich nicht um die gleiche Person. Der Verfasser der angefochtenen Verfügung sei somit nicht in der Lage gewesen, die Glaubhaftigkeit ernsthaft zu prüfen, da ihm bezüglich des Aussageverhaltens des Beschwerdeführers der subjektive Eindruck gefehlt habe. Das Asylgesuch wird insbesondere auf der Grundlage der Konsistenz, Schlüssigkeit sowie Plausibilität der Vorbringen des Gesuchstellers beurteilt (vgl. BVGE 2012/5 E. 2.2). Somit bildet ein rechtskonform erstelltes Protokoll grundsätzlich genügende Grundlage für einen Asylentscheid. Dass die Erhebung der Beweise (Befragungen sowie Erstellung des Protokolls) und die spätere Würdigung derselben (Entscheidfällung) von derselben Person vorgenommen werden müsste, lässt sich dem Gesetz nicht entnehmen. Die Behauptung, die Glaubhaftigkeit der Vorbringen könne nur bei Vorliegen eines "subjektiven Eindrucks" über die aussagende Person beurteilt werden, ist für das Gericht in dieser pauschalen Form im Übrigen nicht nachvollziehbar und wird in der Rechtsmitteleingabe auch nicht weiter dargelegt. Die Verfahrensführung der Vorinstanz ist insofern auch in diesem Punkt nicht zu beanstanden.</w:t>
      </w:r>
    </w:p>
    <w:p>
      <w:r>
        <w:rPr>
          <w:b/>
        </w:rPr>
        <w:t>E. 5.5</w:t>
      </w:r>
    </w:p>
    <w:p>
      <w:r>
        <w:t>Sodann wird geltend gemacht, die Vorinstanz habe im Zusammenhang mit den Vorbringen, der Vater des Beschwerdeführers werde von den Behörden verdächtigt, (...) und (...) für die LTTE versteckt zu halten, nicht an der Erhebung der wesentlichen Beweismittel mitgewirkt. Die im Verwaltungsverfahren geltende Untersuchungsmaxime (vgl. Art. 12 Abs. 1 VwVG) ist nicht so zu verstehen, dass die Asylbehörden nach der Existenz sämtlicher vom Gesuchsteller behaupteten Tatsachen zu forschen hätten. Insbesondere findet der Grundsatz seine Schranken in der Mitwirkungspflicht (Art. 8 AsylG) sowie dem Erfordernis des Glaubhaftmachens der Fluchtgründe durch den Gesuchsteller (Art. 7 AsylG). Ferner wird der Vorwurf in der Rechtsmitteleingabe nicht weiter substantiiert. Die Rüge erweist sich als unbegründet (zur Glaubhaftigkeit der entsprechenden Vorbringen vgl. E. 9.1 nachfolgend).</w:t>
      </w:r>
    </w:p>
    <w:p>
      <w:r>
        <w:rPr>
          <w:b/>
        </w:rPr>
        <w:t>E. 5.6</w:t>
      </w:r>
    </w:p>
    <w:p>
      <w:r>
        <w:t>Weiter wird in der Rechtsmitteleingabe vorgebracht, die Vorinstanz habe es unterlassen, die Gefahr einer Reflexverfolgung unter Beizug von öffentlich zugänglichen Quellen zu beurteilen. Die Vorinstanz hat die Vorbringen des Beschwerdeführers im Zusammenhang mit der Verfolgung des Vaters wegen der Verwahrung von (...) und (...) für die LTTE als unglaubhaft qualifiziert (vgl. Ziffer 1 S. 4 der angefochtenen Verfügung). Bei dieser Ausgangslage bestand für das SEM keine Veranlassung, eine Reflexverfolgung in Bezug auf den Beschwerdeführer zu prüfen. Eine Verletzung der Begründungspflicht beziehungsweise des Anspruchs auf rechtliches Gehör kann in diesem Zusammenhang nicht festgestellt werden (zur Glaubhaftigkeit der diesbezüglichen Vorbringen vgl. E. 9.1).</w:t>
      </w:r>
    </w:p>
    <w:p>
      <w:r>
        <w:rPr>
          <w:b/>
        </w:rPr>
        <w:t>E. 5.7</w:t>
      </w:r>
    </w:p>
    <w:p>
      <w:r>
        <w:t>Soweit der Beschwerdeführer geltend macht, die Vorinstanz habe bezüglich der Einschätzung des Gefährdungspotentials einer Rückkehr ins Heimatland das rechtliche Gehör verletzt, ist festzuhalten, dass sich die Vorinstanz mit dieser Problematik in genügender Weise auseinandergesetzt hat (vgl. Ziffer 2 S. 5 der angefochtenen Verfügung). Bezüglich des damit zusammenhängenden Vorbringens, die Vorinstanz habe die bevorstehenden Wahlen nicht berücksichtigt, ist wiederum darauf hinzuweisen, dass es in erster Linie am Beschwerdeführer liegt, den konkreten Bezug der von ihm aufgeworfenen Ereignisse zu seiner Situation glaubhaft herzustellen (vgl. Art. 7 AsylG; das dort anwendbare Beweismass gilt im Übrigen auch im Vollzugspunkt, vgl. E. 12.1). Dass sich die Vorinstanz über den mutmasslichen Wahlausgang nicht explizit äusserte, ist nicht zu beanstanden. Eine Verletzung des Anspruchs auf rechtliches Gehör kann nicht festgestellt werden.</w:t>
      </w:r>
    </w:p>
    <w:p>
      <w:r>
        <w:rPr>
          <w:b/>
        </w:rPr>
        <w:t>E. 5.8</w:t>
      </w:r>
    </w:p>
    <w:p>
      <w:r>
        <w:t>Vor dem Hintergrund der vorangehenden Erwägungen besteht somit kein Grund, die angefochtene Verfügung aufzuheben und die Sache zur Neubeurteilung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7</w:t>
      </w:r>
    </w:p>
    <w:p>
      <w:r>
        <w:t>Die Vorinstanz gelangt in der angefochtenen Verfügung zum Schluss, die Vorbringen des Beschwerdeführers hielten weder den Anforderungen an das Glaubhaftmachen gemäss Art. 7 AsylG noch denjenigen an die Flüchtlingseigenschaft nach Art. 3 AsylG stand. Der Beschwerdeführer gebe an, die sri-lankischen Behörden forderten von ihm Informationen über Sachverhalte, welche sich noch vor seiner Geburt beziehungsweise zu einem Zeitpunkt ereignet hätten, als der Beschwerdeführer diese aufgrund seines Alters nicht habe bewusst erleben können. Sodann sei nicht plausibel, dass sein Vater während dreissig Jahren für die LTTE (...) versteckt haben solle, zumal er einerseits seit 19(...) nicht mehr für die Organisation tätig gewesen sei, andererseits die Organisation das Geld während der folgenden Kriege gut hätte gebrauchen können. Darüber hinaus seien seine Aussagen ohne Substanz und würden nicht den Eindruck vermitteln, der Beschwerdeführer erzähle über selbst Erlebtes. Auch könne er seine Vorbringen durch keine Belege untermauern. Schliesslich ergebe eine Einschätzung der Risikofaktoren keine begründete Furcht vor Verfolgung im Falle einer Rückkehr in sein Heimatland.</w:t>
      </w:r>
    </w:p>
    <w:p>
      <w:r>
        <w:rPr>
          <w:b/>
        </w:rPr>
        <w:t>E. 8</w:t>
      </w:r>
    </w:p>
    <w:p>
      <w:r>
        <w:t>In der Rechtsmitteleingabe wird dagegen vorgebracht, es hätten nur auserlesene LTTE-Mitglieder Kenntnis über die (...)- und (...) erhalten, weshalb es nicht verwunderlich sei, dass die LTTE das (...) nicht herausverlangt habe. Mit grosser Wahrscheinlichkeit seien die meisten Involvierten im Bürgerkrieg gefallen. Es sei anzunehmen, der Vater des Beschwerdeführers sei von einem Überläufer verraten worden. Dass über die Verhaftung und Folterungen des Vaters keine Belege existieren würden, könne dem Beschwerdeführer nicht angelastet werden. Sodann sei der Beschwerdeführer aufgrund seiner direkten Verfolgung durch die Behörden sowie - im Sinne einer Reflexverfolgung - durch das behördliche Interesse an seinem Vater gefährdet. Dessen erlittenen Misshandlungen seien durch das eingereichte medizinische Attest vom 13. September 2019 nachgewiesen. Der Beschwerdeführer selber befinde sich in psychologischer Behandlung und der Arztbericht werde sobald wie möglich nachgereicht. Aufgrund seiner glaubhaften Vorbringen sei dargelegt, dass er ins Visier des Staatsapparates geraten sei und aufgrund seines Risikoprofils begründete Furcht habe, auch bei seiner Rückkehr verfolgt zu werden. Gestützt auf zahlreiche Länderberichte sei erstellt, dass der Norden Sri Lankas durch die Behörden systematisch überwacht werde und insbesondere Personen tamilischer Ethnie, welchen eine Nähe zur LTTE nachgesagt werde, einer hohen Gefahr vor Verhaftung, Entführung, Folter und Erpressung ausgesetzt seien. Aufgrund der angespannten Sicherheitslage im Zuge der Terroranschläge im April 2019 habe sich die Gefahr zusätzlich verschärft.</w:t>
      </w:r>
    </w:p>
    <w:p>
      <w:r>
        <w:rPr>
          <w:b/>
        </w:rPr>
        <w:t>E. 9.1</w:t>
      </w:r>
    </w:p>
    <w:p>
      <w:r>
        <w:t>Der Beschwerdeführer rügt sinngemäss, die Vorinstanz habe den Massstab des Glaubhaftmachens gemäss Art. 7 AsylG nicht richtig angewendet und habe ihn zu Unrecht nicht als Flüchtling anerkannt, mithin Bundesrecht verletzt. Die Vorinstanz kam in der angefochtenen Verfügung zum Schluss, die Aussagen des Beschwerdeführers seien nicht glaubhaft. Im Ergebnis ist dieser Auffassung zu folgen. Auch für das Gericht ist insbesondere nicht nachvollziehbar, weshalb nur der Beschwerdeführer in das Visier der Behörden geraten sein soll und nicht auch seine Mutter sowie seine Geschwister. Falls die Behörden tatsächlich davon ausgegangen sein sollten, der Vater habe Informationen über die angebliche Verwahrung von LTTE-Gütern an seine Angehörige weitergegeben, wäre es naheliegend gewesen, sämtliche infrage kommenden Quellen zu prüfen. Hinzu kommt, dass der Beschwerdeführer im Rahmen des erstinstanzlichen Verfahrens explizit angegeben hat, der Vater habe ihm gegenüber erklärt, er - der Vater - habe anlässlich der zweiten Einvernahme keine Angaben über Verstecke machen können, weil er nichts darüber gewusst habe (vgl. SEM-Akten A3/11 N. 7.01). Dies lässt darauf schliessen, der Vater sei gar nie in die Verwahrung von LTTE-Gütern involviert gewesen und deshalb nach Kriegsende auch nie von der LTTE diesbezüglich angegangen worden. Insofern ist nicht plausibel, dass später auf Beschwerdeebene sinngemäss erklärt wird, die LTTE habe die verwahrten Güter von der Familie während dreissig Jahren nicht zurückgefordert, weil die Standorte nur einem kleinen Kreis von LTTE-Leuten bekannt gewesen und viele Mitglieder mit grosser Wahrscheinlichkeit im Bürgerkrieg gefallen seien. Hinzu kommt, dass - in Übereinstimmung mit der Vorinstanz - die Ausführungen des Beschwerdeführers als oberflächlich und substanzarm zu werten sind (vgl. zum Beispiel SEM-Akten A21/13 F 29 ff. sowie F55 ff.). Darüber hinaus vermochte der Beschwerdeführer die ihm im Rahmen der Anhörung vorgehaltenen Widersprüche zu seinen Aussagen anlässlich der BzP nicht befriedigend aufzulösen. Insbesondere im Zusammenhang mit der Anzahl Einvernahmen des Vaters sowie der Frage, ob nach dem Beschwerdeführer nur gesucht oder dieser auch einvernommen worden sei, widerspricht er sich in zentralen Punkten seiner Asylvorbringen (vgl. a.a.O. F79 ff.). Diese Widersprüche sind im Übrigen auch nicht mit dem in der Rechtsmitteleingabe enthaltenen Hinweis auf die verstrichene Zeitdauer und die kognitiven Fähigkeiten des Beschwerdeführers erklärbar. Zum auf Beschwerdeebene eingereichten medizinischen Attest betreffend den Vater ist festzuhalten, dass dieses nur eine sehr rudimentäre Diagnose (Depression, psychische Probleme seit 2016) ohne entsprechende Anamnese enthält und insgesamt nicht geeignet ist, Beweis für die geltend gemachte Entführung und Misshandlung des Vaters zu erbringen. Im Ergebnis ist festzuhalten, dass die Vorbringen des Beschwerdeführers in sich nicht stimmig, unplausibel und letztendlich insgesamt nicht glaubhaft sind. Die insoweit erhobene Rüge geht fehl.</w:t>
      </w:r>
    </w:p>
    <w:p>
      <w:r>
        <w:rPr>
          <w:b/>
        </w:rPr>
        <w:t>E. 9.2</w:t>
      </w:r>
    </w:p>
    <w:p>
      <w:r>
        <w:t>Im Zusammenhang mit der Rückkehr nach Sri Lanka hielt das Bundesverwaltungsgericht im Urteil E-1866/2015 vom 15. Juli 2016 (als Referenzurteil publiziert) fest, bestimmte Risikofaktoren (Eintrag in die "Stop-List", Verbindung zu den LTTE und exilpolitische Aktivitäten) seien als stark risikobegründend zu qualifizieren, da sie bei einer Rückkehr ins Heimatland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Im vorliegenden Fall vermögen der gemäss Beschwerdeführer sehr kurze Aufenthalt in einem Rekrutierungsprogramm der LTTE im Jahre 2009, der längere Aufenthalt im Ausland sowie der von ihm vorgebrachte Umstand, dass er mit einem gefälschten Pass aus seinem Heimatland ausgereist sei, kein flüchtlingsrechtlich relevantes Risikoprofil im beschriebenen Sinne zu begründen. Die diesbezüglich erhobene Rüge ist unbegründet.</w:t>
      </w:r>
    </w:p>
    <w:p>
      <w:r>
        <w:rPr>
          <w:b/>
        </w:rPr>
        <w:t>E. 9.3</w:t>
      </w:r>
    </w:p>
    <w:p>
      <w:r>
        <w:t>Aufgrund des Ausgeführten ist festzuhalten, dass die Vorinstanz die Flüchtlingseigenschaft des Beschwerdeführers zu Recht verneint und sein Asylgesuch abgelehnt hat. Insoweit besteht keine Veranlassung, das in Aussicht gestellte Arztzeugnis abzuwarten.</w:t>
      </w:r>
    </w:p>
    <w:p>
      <w:r>
        <w:rPr>
          <w:b/>
        </w:rPr>
        <w:t>E. 10</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Am 1. Januar 2019 wurde das Ausländergesetz vom 16. Dezember 2005 (AIG,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13.1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Aussagen des Beschwerdeführers noch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Es besteht kein Grund zur Annahme, die jüngsten politischen Entwicklungen in Sri Lanka könnten sich konkret auf den Beschwerdeführer auswirken. Die allgemeine Menschenrechtssituation in Sri Lanka lässt den Wegweisungsvollzug zum heutigen Zeitpunkt nicht als unzulässig erscheinen. Der Vollzug der Wegweisung ist somit zulässig.</w:t>
      </w:r>
    </w:p>
    <w:p>
      <w:r>
        <w:rPr>
          <w:b/>
        </w:rPr>
        <w:t>E. 13.2.1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13.2.2</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(Referenzurteil E- 1866/2015 E. 13.2). In einem weiteren als Referenzurteil publizierten Entscheid vom 16. Oktober 2017 erachtet das Bundesverwaltungsgericht auch den Wegweisungsvollzug ins "Vanni-Gebiet" als zumutbar (Urteil D-3619/2016 vom 16. Oktober 2017 E. 9.5). An dieser Einschätzung vermögen auch die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New York Times [NYT]: What We Know and Don't Know About the Sri Lanka Attacks, https://www.nytimes.com/2019/04/22/world/asia/sri-lanka-attacks-bombings-explosions-updates.html?action=click&amp;module=Top% 20Stories&amp; pgtype= Homepage, alle abgerufen am 13. November 2019) sowie der Ausgang der Präsidentschaftswahlen vom 17. November 2019 nichts zu ändern.</w:t>
      </w:r>
    </w:p>
    <w:p>
      <w:r>
        <w:rPr>
          <w:b/>
        </w:rPr>
        <w:t>E. 13.2.3</w:t>
      </w:r>
    </w:p>
    <w:p>
      <w:r>
        <w:t>Im Zusammenhang mit dem geltend gemachten Gesundheitszustand des Beschwerdeführers ist einerseits festzuhalten, dass der Beschwerdeführer kein ärztliches Attest eingereicht hat. Andererseits ist unter Verweis auf das Urteil des Bundesverwaltungsgerichts D-7344/2016 vom 11. Februar 2019 davon auszugehen, er in seiner Heimat bei Bedarf auf staatlich finanzierte Behandlung zurückgreifen kann (vgl. a.a.O. E. 11.5.2). Auch weitergehend sprechen keine individuellen Gründe gegen die Zumutbarkeit des Wegweisungsvollzugs. Der Beschwerdeführer stammt aus B._______, Distrikt C._______, Nordprovinz. Der Vollzug dorthin ist gemäss Rechtsprechung grundsätzlich zumutbar. Der Beschwerdeführer verfügt sodann an seinem Herkunftsort mit seinen Eltern, Geschwistern und mehreren Onkeln und Tanten mit deren Familien über ein familiäres Beziehungsnetz. Ferner hat er 20(...) das (...) abgeschlossen und anschliessend einen (...) belegt. Somit ist davon auszugehen, dass der junge Beschwerdeführer bei einer Rückkehr - allenfalls mit Unterstützung seiner Verwandten - eine eigene wirtschaftliche Existenz aufbauen kann. Der Vollzug der Wegweisung ist demnach zumutbar.</w:t>
      </w:r>
    </w:p>
    <w:p>
      <w:r>
        <w:rPr>
          <w:b/>
        </w:rPr>
        <w:t>E. 13.3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13.4</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29. Oktober 2019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