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E-524/2023 vom 1. Oktober 2024</w:t>
      </w:r>
    </w:p>
    <w:p>
      <w:r>
        <w:t>Bundesverwaltungsgericht, 2024-10-01, FR</w:t>
      </w:r>
    </w:p>
    <w:p>
      <w:r>
        <w:rPr>
          <w:b/>
        </w:rPr>
        <w:t xml:space="preserve">Quelle: </w:t>
      </w:r>
      <w:r>
        <w:t>https://mcp.opencaselaw.ch/entscheid/bvger_E-524_2023</w:t>
      </w:r>
    </w:p>
    <w:p>
      <w:r>
        <w:t>FR: TAF E-524/2023 du 1 octobre 2024</w:t>
      </w:r>
    </w:p>
    <w:p>
      <w:r>
        <w:t>IT: TAF E-524/2023 del 1 ottobre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Comme relevé, l'intéressé fait préliminairement valoir que le SEM aurait violé son droit d'être entendu et la maxime inquisitoire.</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2.4</w:t>
      </w:r>
    </w:p>
    <w:p>
      <w:r>
        <w:t>L'intéressé reproche d'abord au SEM de ne pas avoir donné suite à sa demande d'être entendu par un auditoire féminin, violant ainsi son droit d'être entendu. L'art. 6 de l'ordonnance 1 sur l'asile relative à la procédure (Ordonnance 1 sur l'asile, OA 1 ; RS 142.311) dispose que s'il existe des indices concrets de persécution liée au genre ou si la situation dans l'État de provenance permet de déduire qu'il existe de telles persécutions, la personne requérant l'asile est entendue par une personne du même sexe. En l'espèce, la représentation juridique a certes fait savoir au SEM, avant l'entretien Dublin de l'intéressé, que celui-ci était plus à l'aise en présence d'un auditoire féminin. Cela dit, au début de cet entretien, et en réponse à sa représentation juridique, le recourant a consenti à être entendu par un auditoire masculin. Il ne saurait dès lors faire grief au SEM de la composition de l'auditoire. L'argument selon lequel il aurait été trop vulnérable ou intimidé pour réitérer sa demande n'est pas décisif et ne convainc pas, étant en outre rappelé que sa représentation juridique était présente et aurait pu, si nécessaire, l'assister en ce sens. Au demeurant, rien n'indique que le recourant n'ait pas pu s'exprimer complètement au cours de cet entretien. En réponse à l'auditeur du SEM, qui lui demandait en fin d'audition si la composition de l'auditoire l'avait empêché d'exposer les faits survenus en Croatie, le recourant a répondu « Nous étions effrayés par les policiers qui pointaient sur nous les pistolets. Je voulais un auditoire féminin du fait que j'ai été battu par des hommes. Mais je souhaitais sortir tout cela de moi et j'ai pu m'exprimer librement ici ». Il n'en résulte donc aucune violation du droit d'être entendu de l'intéressé.</w:t>
      </w:r>
    </w:p>
    <w:p>
      <w:r>
        <w:rPr>
          <w:b/>
        </w:rPr>
        <w:t>E. 2.5</w:t>
      </w:r>
    </w:p>
    <w:p>
      <w:r>
        <w:t>Comme exposé, le recourant fait en outre grief à l'autorité intimée d'avoir insuffisamment instruit les mauvais traitements dont il aurait été victime en Croatie ainsi que la situation générale dans ce pays. Le SEM aurait de plus rendu une décision à la motivation lacunaire, alors que ses déclarations coïncideraient avec de nombreux témoignages et rapports relatifs aux violences subies par les requérants d'asile à la frontière croate. L'autorité intime aurait ainsi violé la maxime inquisitoire et son droit d'être entendu. En l'espèce, l'intéressé entend en réalité contester le bien-fondé de la décision querellée. Force est notamment de constater qu'il a manifestement compris la motivation de cette décision et, au vu de l'argumentation développée dans son mémoire, a pu exercer son droit de recours à bon escient. Il fait ainsi valoir des arguments sur le fond, qui seront examinés plus loin.</w:t>
      </w:r>
    </w:p>
    <w:p>
      <w:r>
        <w:rPr>
          <w:b/>
        </w:rPr>
        <w:t>E. 2.6</w:t>
      </w:r>
    </w:p>
    <w:p>
      <w:r>
        <w:t>L'intéressé reproche enfin au SEM d'avoir insuffisamment instruit la question de son état de santé psychique. En l'occurrence, au moment où l'autorité intimée a statué, elle disposait des déclarations de l'intéressé relatives à son état de santé, notamment psychique, ainsi que de documents médicaux (cf. let. E.). Un diagnostic avait été posé, un traitement médicamenteux prescrit et un suivi mis en place. Nanti de ces informations, le SEM a notamment retenu que l'état de santé de l'intéressé n'était pas si grave ou particulier, notamment quant aux traitements nécessaires, qu'il puisse s'opposer à un retour en Croatie, où il aurait accès à des soins adéquats. Force est ainsi d'admettre que le SEM a pris en compte les éléments médicaux figurant alors au dossier, lesquels ne laissaient apparaître, selon lui, aucun indice de troubles susceptibles de faire obstacle au transfert de l'intéressé. Rien n'indique donc que l'autorité intimée ait violé son devoir d'instruction d'office. La question de la licéité de l'exécution du transfert en lien avec l'état de santé de l'intéressé ainsi que le document médical produit au stade du recours seront examinés plus loin (cf. consid. 7.5).</w:t>
      </w:r>
    </w:p>
    <w:p>
      <w:r>
        <w:rPr>
          <w:b/>
        </w:rPr>
        <w:t>E. 2.7</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les investigations entreprises par le SEM ont révélé, après consultation de l'unité centrale du système européen Eurodac, que l'intéressé est entré illégalement en Croatie et que ses empreintes digitales y ont été enregistrées le 28 septembre 2022.</w:t>
      </w:r>
    </w:p>
    <w:p>
      <w:r>
        <w:rPr>
          <w:b/>
        </w:rPr>
        <w:t>E. 5.2</w:t>
      </w:r>
    </w:p>
    <w:p>
      <w:r>
        <w:t>Le 9 novembre 2022, l'autorité intimée a dès lors soumis aux autorités croates compétentes, dans les délais fixés à l'art. 21 par. 1 RD III, une requête aux fins de prise en charge, fondée sur l'art. 13 par. 1 de ce même règlement.</w:t>
      </w:r>
    </w:p>
    <w:p>
      <w:r>
        <w:rPr>
          <w:b/>
        </w:rPr>
        <w:t>E. 5.3</w:t>
      </w:r>
    </w:p>
    <w:p>
      <w:r>
        <w:t>Par communication du 9 janvier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recourant est donc donnée, au regard des critères de détermination de l'Etat membre responsable.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et quoi qu'en dise l'intéressé, d'être exposées à un risque de violation de leurs droits découlant du principe de non-refoulement. En l'espèce, l'ordre de quitter le territoire croate qu'aurait reçu l'intéressé pourrait s'expliquer par le fait qu'il n'a pas déposé de demande d'asile dans ce pays.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6.4</w:t>
      </w:r>
    </w:p>
    <w:p>
      <w:r>
        <w:t>Par conséquent, l'application de l'art. 3 par. 2 du règlement Dublin III ne se justifie pas en l'espèce. Le « dossier de presse » ainsi que les rapports d'ONG mentionnés dans le recours ne suffisent pas à modifier cette appréciation. En particulier, le recourant ne peut tirer argument du rapport de l'Organisation Suisse d'Aide aux Réfugiés (OSAR) du 13 septembre 2022 intitulé « Violences policières en Bulgarie et en Croatie : conséquences pour les transferts Dublin » (cf. mémoire de recours, p. 14), dans la mesure notamment où la Croatie a expressément accepté de le prendre en charge sur son territoire. Il ne peut davantage tirer argument de l'arrêt de référence E-3078/2019 du 12 juillet 2019 qui n'a pas considéré que le système mis en place par la Croatie présentait des défaillances systémiques ; l'arrêt de coordination E-1488/2020 précité ne l'a d'ailleurs en définitive pas retenu. Enfin, les arrêts de juridictions allemandes et néerlandaise cités par l'intéressé ne lient pas le Tribunal.</w:t>
      </w:r>
    </w:p>
    <w:p>
      <w:r>
        <w:rPr>
          <w:b/>
        </w:rPr>
        <w:t>E. 7.1</w:t>
      </w:r>
    </w:p>
    <w:p>
      <w:r>
        <w:t>Le recourant s'oppose néanmoins à son transfert vers la Croatie, déclarant, comme relevé, avoir subi des mauvais traitements de la part de la police croate. En outre, il a émis des doutes quant à l'accès dans ce pays à une procédure d'asile équitable et respectueuse de ses droits fondamentaux. Atteint dans sa santé psychique, il devrait être considérée comme vulnérable en cas de transfert. A cet égard, il invoque une violation de l'art. 17 par. 1 du règlement Dublin III en lien avec les art. 3 et 13 CEDH ainsi que 3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semble-t-il passé que quelques heures, revêtiraient un tel degré de pénibilité et de gravité, pour un requérant d'asile, qu'elles seraient constitutives d'un traitement contraire à l'art. 3 CEDH ou encore à l'art. 3 CCT (cf. arrêt du Tribunal F-1125/2021 du 19 mars 2021 consid. 4.5). Sur le fond, les seules déclarations du recourant lors de son audition Dublin, complétées au stade du recours, ne suffisent pas, quoi qu'il en dise, à établir qu'il a subi de la part de la police croate des traitements contraires à l'art. 3 CEDH ou à l'art. 3 CCT. L'état de stress post-traumatique présenté par l'intéressé n'atteste pas encore les mauvais traitements qu'il aurait subis en Croatie, dès lors qu'il ne peut être exclu que ce trouble ait une origine différente. A cet égard, le rapport médical du 28 juillet 2023 fait du reste référence à des reviviscences d'événements survenus tant au Burundi qu'en Croatie. Il est à cet égard souligné que les faits qui seraient survenus au Burundi ne sont pas pertinents dans le cadre de la présente procédure ; il appartiendra aux autorités croates, une fois saisies de la demande d'asile de l'intéressé, d'examiner si les recherches dont le recourant dit faire l'objet dans son pays sont avérées. Il est par ailleurs singulier que l'intéressé, lors de son entretien Dublin, n'ait pas spontanément mentionné que les policiers croates auraient menacé les migrants avec des pistolets, ne mentionnant cet élément qu'en fin d'audition, en réponse à l'auditeur qui lui demandait s'il avait pu exposer l'ensemble des événements survenus en Croatie. En outre, dans sa description des interpellations dans ce pays, il n'a pas évoqué de violences sexuelles ; l'hypothèse émise par sa représentation juridique, au stade du recours, selon laquelle il aurait néanmoins été victime de telles violences, n'est en rien étayée ; il aurait pu être attendu de l'intéressé qu'il en décrive au moins les circonstances, ce qu'il n'a pas fait. Dans ces conditions, même s'il ne peut être exclu qu'il ait été traité avec hostilité par la police croate, les mauvais traitements allégués par l'intéressé, y compris les « violences sexuelles » évoquées au stade du recours, ne sont pas établis à satisfaction de droit. Même à les tenir pour établis, ces faits ne sauraient être considérés comme représentatifs du comportement des autorités croates dans leur ensemble.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On ne saurait dès lors retenir que l'intéressé encourt un risque de retraumatisation en cas de retour en Croatie.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TAF F-1543/2018 du 19 mars 2018 consid. 6.2). Les rapports cités dans le recours ne sont pas de nature à modifier l'appréciation du Tribunal selon laquelle l'intéressé aura accès en Croatie à un recours effectif au sens de l'art. 13 CEDH.</w:t>
      </w:r>
    </w:p>
    <w:p>
      <w:r>
        <w:rPr>
          <w:b/>
        </w:rPr>
        <w:t>E. 7.5.1</w:t>
      </w:r>
    </w:p>
    <w:p>
      <w:r>
        <w:t>Compte tenu de la jurisprudence restrictive en la matière, encore récemment rappelée par le Tribunal (cf. not. arrêts du Tribunal E-5863/2022 du 23 janvier 2024 consid. 7.4.3 ; F-2394/2023 du 18 janvier 2024 consid. 7.4 ; D-3385/2023 du 28 juillet 2023 consid. 7.3.2), il y a lieu de considérer, à l'instar du SEM, que les problèmes de santé évoqués par le recourant, que le Tribunal ne minimise en rien, ne sont pas d'une gravité telle qu'il se justifierait de renoncer à son transfert vers la Croatie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E-5863/2022 précité et jurisp. cit.). Il en va notamment ainsi de ses troubles psychiques, tels qu'ils ressortent en particulier des rapports du 28 juillet 2023 et du 13 septembre 2024. En outre, ces affections n'appellent manifestement aucune mesure urgente. Au demeurant, si tel avait été le cas, l'intéressé aurait eu tout loisir de consulter un service d'urgence, ce qu'il ne semble pas avoir fait.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conditions, il n'est pas nécessaire de requérir des autorités croates les garanties de prise en charge semble-t-il évoquées par l'intéressé (cf. mémoire de recours, p. 20). En définitive, quoi qu'il en dise, rien n'indique que le recourant ne puisse obtenir en Croatie les soins nécessités par son état, notamment psychique, et ce indépendamment des modalités d'activité de MdM sur place. Il est d'ailleurs rappelé que celles-ci ont apparemment repris (cf. E-5863/2022 précité) et que le ministère de l'Intérieur croate mandate des ONG pour fournir des soins médicaux aux requérants d'asile. Les rapports généraux mentionnés par le recourant ne sont pas de nature à modifier ces conclusions.</w:t>
      </w:r>
    </w:p>
    <w:p>
      <w:r>
        <w:rPr>
          <w:b/>
        </w:rPr>
        <w:t>E. 7.5.2</w:t>
      </w:r>
    </w:p>
    <w:p>
      <w:r>
        <w:t>Comme relevé, l'intéressé a exprimé des idées suicidaires, affirmant notamment préférer mourir que de retourner en Croatie. Il a encore fait état d'une idéation suicidaire fluctuante selon le document médical le plus récent. Cela dit,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([GC],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En outre, il n'est pas connu pour des antécédents avérés que ce soit de trouble mental grave, de tentative de suicide ou d'acte d'auto-agression, ni n'a dû être hospitalisé dans un service psychiatrique depuis son entrée en Suisse.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aussi consid. 7.5.4). Les menaces auto-agressives qui se manifesteraient par la suite devront et pourront, le cas échéant, être gérées en Croatie. A cet égard, il sied en outre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Il est encore rappelé que les mauvais traitements subis en Croatie - en tous les cas de l'ampleur que tente de leur donner l'intéressé - n'ont pas été rendus crédibles, et qu'en tout état de cause, le recourant, qui sera transférés à Zagreb, ne se retrouvera pas confronté à la situation qui a pu être la sienne dans les zones frontalières (cf. consid. 7.4). Enfin, comme déjà dit (cf. ibidem), il n'existe aucun indice concret d'un risque de retraumatisation du recourant en cas de transfert en Croatie.</w:t>
      </w:r>
    </w:p>
    <w:p>
      <w:r>
        <w:rPr>
          <w:b/>
        </w:rPr>
        <w:t>E. 7.5.3</w:t>
      </w:r>
    </w:p>
    <w:p>
      <w:r>
        <w:t>Dès lors, il y a lieu de retenir que l'état de santé du recourant ne saurait faire obstacle à l'exécution de son transfert vers la Croatie.</w:t>
      </w:r>
    </w:p>
    <w:p>
      <w:r>
        <w:rPr>
          <w:b/>
        </w:rPr>
        <w:t>E. 7.5.4</w:t>
      </w:r>
    </w:p>
    <w:p>
      <w:r>
        <w:t>Cela dit, afin d'assurer que les traitements ne seront pas interrompus au moment du transfert et qu'ils seront poursuivis en Croatie, il incombera aux autorités suisses chargées de l'exécution du transfert de transmettre à leurs homologues croates, en temps utile, les renseignements permettant une prise en charge médicale adéquate du recourant (art. 31 et 32 du règlement Dublin III), étant rappelé que celui-ci a donné son accord à la transmission de ses données médicales en date du 8 novembre 2022.</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dit, les conclusions du recours n'étaient pas d'emblée vouées à l'échec et le recourant peut être tenu pour indigent, de sorte que la requête d'assistance judiciaire partielle est admise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