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E-5249/2015 vom 23. März 2016</w:t>
      </w:r>
    </w:p>
    <w:p>
      <w:r>
        <w:t>Bundesverwaltungsgericht, 2016-03-23, DE</w:t>
      </w:r>
    </w:p>
    <w:p>
      <w:r>
        <w:rPr>
          <w:b/>
        </w:rPr>
        <w:t xml:space="preserve">Quelle: </w:t>
      </w:r>
      <w:r>
        <w:t>https://mcp.opencaselaw.ch/entscheid/bvger_E-5249_2015</w:t>
      </w:r>
    </w:p>
    <w:p>
      <w:r>
        <w:t>FR: TAF E-5249/2015 du 23 mars 2016</w:t>
      </w:r>
    </w:p>
    <w:p>
      <w:r>
        <w:t>IT: TAF E-5249/2015 del 23 marzo 2016</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form- und fristgerecht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gelangt in der angefochtenen Verfügung zum Schluss, dass den Schilderungen der Beschwerdeführerin keine konkreten Anhaltspunkte dafür entnommen werden könnten, dass sie ernsthaften Nachteilen im Sinne von Art. 3 AsylG ausgesetzt sei. So würden durch Krieg oder Situationen allgemeiner Gewalt erlittene Nachteile keine Verfolgung im Sinne des Asylgesetzes darstellen. Was ihre Verfolgung durch Personen betreffe, die ihren Mann und ihre Söhne getötet hätten, habe sie dies lediglich durch ihre Nachbarn gehört. Es genüge jedoch nicht, Furcht lediglich mit einer Vermutung zu begründen. Vielmehr müssten hinreichende Anhaltspunkte für eine aktuelle, konkrete Bedrohung vorhanden sein, die auf einer objektiven Betrachtungsweise fussten. Ihre Schilderung sei zudem oberflächlich und beschränke sich auf einen Satz. Es würden keine näheren und konkreten Anhaltspunkte dafür vorliegen, dass sie nach all den Jahren von besagten Personen gezielt verfolgt werde.</w:t>
      </w:r>
    </w:p>
    <w:p>
      <w:r>
        <w:rPr>
          <w:b/>
        </w:rPr>
        <w:t>E. 5.2</w:t>
      </w:r>
    </w:p>
    <w:p>
      <w:r>
        <w:t>Die Beweiswürdigung der Vorinstanz ist nicht zu beanstanden. Die Beschwerdeführerin setzt sich damit nicht ansatzweise auseinander. Mit dem blossen Wiederholen des aktenkundigen Sachverhalts zeigt sie nicht auf, inwiefern die angefochtene Verfügung Bundesrecht verletzt oder den Sachverhalt rechtsfehlerhaft feststellt. Solches ist auch nicht ersichtlich. Die Schlussfolgerung der Vorinstanz, es sei von einer fehlenden Verfolgungssituation der Beschwerdeführerin auszugehen, ist nicht zu beanstanden. Dass sich die Beschwerdeführerin gegenwärtig angeblich in Kenia aufhalte, ändert an dieser Situation nichts. Aus den eingereichten Dokumenten kann die Beschwerdeführerin nichts zu ihren Gunsten ableiten. Die Vorinstanz hat ihr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