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E-5244/2014 vom 3. Juni 2015</w:t>
      </w:r>
    </w:p>
    <w:p>
      <w:r>
        <w:t>Bundesverwaltungsgericht, 2015-06-03, DE</w:t>
      </w:r>
    </w:p>
    <w:p>
      <w:r>
        <w:rPr>
          <w:b/>
        </w:rPr>
        <w:t xml:space="preserve">Quelle: </w:t>
      </w:r>
      <w:r>
        <w:t>https://mcp.opencaselaw.ch/entscheid/bvger_E-5244_2014</w:t>
      </w:r>
    </w:p>
    <w:p>
      <w:r>
        <w:t>FR: TAF E-5244/2014 du 3 juin 2015</w:t>
      </w:r>
    </w:p>
    <w:p>
      <w:r>
        <w:t>IT: TAF E-5244/2014 del 3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in erster Linie mit der Unglaubhaftigkeit der Ausführungen des Beschwerdeführers. Insbesondere würden seine falschen Angaben zum Schulwesen sowie die vagen und unsubstanziierten Angaben zu seinem Heimatdorf darauf schliessen lassen, dass er nicht im Gebiet Tibet gelebt habe. Durch die widersprüchlichen und unglaubhaften Aussagen zu seinen Ausweis­papieren entstehe zudem der Eindruck, er versuche seine Identität zu verheimlichen. Sodann könnten auch die Asylvorbringen des Beschwerdeführers nicht geglaubt werden. Seine Behauptung, er habe die Schüler über tibetische Religion, Geschichte und Politik unterrichtet, obschon er gewusst habe, dass einige der Eltern Chinesen gewesen seien, widerspreche der Logik des Handelns. Da es dem Beschwerdeführer nicht gelungen sei, seine Hauptsozialisation in der Volksrepublik China glaubhaft darzulegen, sei davon auszugehen, dass er vor seiner Ankunft in der Schweiz in der exiltibetischen Diaspora gelebt habe. Eine Verfolgung im Sinn von Art. 3 AsylG habe er ebenfalls nicht glaubhaft dazulegen vermocht. Der Vollzug der Wegweisung in die Volksrepublik China werde im konkreten Fall zwar ausgeschlossen. Bei einer groben Verletzung der Mitwirkungspflicht könne jedoch der Vollzug der Wegweisung nicht verhindert werden, wenn der Beschwerdeführer - wie vorliegend - eine sinnvolle Prüfung seiner wahren Herkunft verunmögliche. Es sei ausserdem nicht Sache der Asylbehörden bei fehlenden Hinweisen nach etwa­igen Wegweisungsvollzugshindernissen in hypothetische Herkunftsländer zu forschen, weshalb mit Verweis auf den Grundsatz der Rechtsgleichheit davon auszugehen sei, dass einer Wegweisung an den bisherigen Aufenthaltsort des Beschwerdeführers keine Vollzugshindernisse entgegenstünden.</w:t>
      </w:r>
    </w:p>
    <w:p>
      <w:r>
        <w:rPr>
          <w:b/>
        </w:rPr>
        <w:t>E. 4.2</w:t>
      </w:r>
    </w:p>
    <w:p>
      <w:r>
        <w:t>In seiner Beschwerde führte der Beschwerdeführer aus, er habe keine detaillieren Kenntnisse über das Schulwesen in Tibet, weil er lediglich als Hilfslehrer beigezogen worden sei und es sich bei dieser Schule ausserdem nicht um eine staatliche Institution gehandelt habe. Vielmehr sei sie auf Eigeninitiative einzelner Familien entstanden, weshalb sie nicht den üblichen Strukturen in den eher städtischen Gebieten Tibets entsprochen habe. Auch in Bezug auf die unterrichteten Schulfächer liege die Vorinstanz falsch. Für ihn als Hilfslehrer sei im Vordergrund gestanden, dass er den Schülern die tibetische Schrift vermittle. Hierzu habe er anlässlich der Anhörung eine Schriftprobe abgeben müssen, die zeige, dass er zur Weitervermittlung der Schrift durchaus geeignet sei. Die Vermittlung von Religion und Kultur habe sich so ergeben, gerade weil an dieser Schule kein fester Lehrplan bestanden habe. Es sei auch durchaus nachvollziehbar, dass er keine Kenntnis habe von der unterschiedlichen westlichen Zeitrechnung, da die Bedeutung der Zeitrechnung in Tibet nicht vergleichbar sei mit derjenigen in westlichen Gesellschaften. Schliesslich sei die Landschaft in seiner Heimatregion tatsächlich unspektakulär und gleichförmig, weshalb er dazu nicht mehr habe sagen können. Die Argumentation der Vorinstanz, der Beschwerdeführer habe in der exiltibetischen Diaspora gelebt, werde als unzulässig erachtet. So gebe es keine Anhaltspunkte, die darauf schliessen lassen würden, dass er aus einem anderen Land stamme. Es gehe ausserdem nicht an, dass die Vorinstanz sich bloss darauf beschränke, seine Aussagen in Zweifel zu ziehen, ohne plausible Alternative einer behaupteten Herkunft anzugeben.</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5.2.1</w:t>
      </w:r>
    </w:p>
    <w:p>
      <w:r>
        <w:t>Das Bundesverwaltungsgericht hat im zur Publikation vorgesehenen Leiturteil E-3361/2014 vom 6. Mai 2015 festgestellt, dass das SEM vor einiger Zeit eine neue Methode der Herkunftsabklärung für Asylsuchende tibetischer Ethnie eingeführt hat. Dabei wird nicht mehr eine Analyse der Fachstelle Lingua (sprachliche Analyse oder Lingua-Alltags­wissensevaluation) durchgeführt,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E. 5.2.2.1 m.w.H.).</w:t>
      </w:r>
    </w:p>
    <w:p>
      <w:r>
        <w:rPr>
          <w:b/>
        </w:rPr>
        <w:t>E. 5.2.2</w:t>
      </w:r>
    </w:p>
    <w:p>
      <w:r>
        <w:t>Bei Abklärungen des Länder- und Alltagswissens von Asylsuchenden an der einlässlichen Anhörung müssen zudem den Akten Informationen entnommen werden können, die es dem Gericht erlauben, zuverlässig zu ermitteln, inwiefern die asylsuchende Person hinreichende Angaben über das behauptete Herkunftsland machen konnte. Da bei dieser neuen Methode der Vorinstanz kein amtsexterner Sachverständiger mehr mitwirkt, sind die zutreffenden Antworten - unter Einhaltung der hier üblichen Standards - mit Informationen zum Herkunftsland (Country of Origin Information, COI) zu belegen (vgl. E. 5.2.2.1 f. m.w.H.).</w:t>
      </w:r>
    </w:p>
    <w:p>
      <w:r>
        <w:rPr>
          <w:b/>
        </w:rPr>
        <w:t>E. 5.2.3</w:t>
      </w:r>
    </w:p>
    <w:p>
      <w:r>
        <w:t>Der wesentliche Inhalt der Herkunftsanalyse muss der betroffenen Person sodann zur rechtsgenüglichen Gewährung der Akteneinsicht - entweder in einer zu protokollierenden mündlichen Anhörung oder in einer aktenkundigen schriftlichen Notiz - zur Kenntnis gebracht und ihr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Es genügt somit nicht, die Schlussfolgerungen der Herkunftsabklärung in einer pauschalen Zusammenfassung darzulegen, ohne der betroffenen Person die ihr konkret vorgeworfenen Falschangaben in geeigneter Weise erkennbar zu machen (vgl. E. 5.2.2.3 f. m.w.H.).</w:t>
      </w:r>
    </w:p>
    <w:p>
      <w:r>
        <w:rPr>
          <w:b/>
        </w:rPr>
        <w:t>E. 5.3</w:t>
      </w:r>
    </w:p>
    <w:p>
      <w:r>
        <w:t>Die Vorinstanz ist in vorliegendem Verfahren ihrer Untersuchungspflicht in Bezug auf ihre neu eingeführte Methode der Herkunftsabklärung für Asylsuchende tibetischer Ethnie nicht nachgekommen, und sie hat auch die vorab umschriebenen Mindeststandards betreffend Gewährung des rechtlichen Gehörs nicht erfüllt.</w:t>
      </w:r>
    </w:p>
    <w:p>
      <w:r>
        <w:rPr>
          <w:b/>
        </w:rPr>
        <w:t>E. 5.3.1</w:t>
      </w:r>
    </w:p>
    <w:p>
      <w:r>
        <w:t>Dem Beschwerdeführer wurden anlässlich der Anhörung zu seinen Asylgründen ebenfalls Fragen zu seinem Herkunfts- und Alltagswissen gestellt. Diese beschränkten sich im Wesentlichen auf seine Identitätspapiere, auf je eine Frage zur tibetischen Währung, seine Sprachkenntnisse und die tibetische Zeitrechnung sowie auf zwei Fragen zur Landschaft der angegebenen Herkunftsregion. Etwas ausführlicher wurde der Beschwerdeführer zum Schulsystem in Tibet befragt. Diesbezüglich sind dem Anhörungsprotokoll lediglich die gestellten Fragen und die entsprechenden Antworten des Beschwerdeführers zu entnehmen. Auf Ungereimtheiten wurde er in diesem Zusammenhang nicht angesprochen. Mit diesem Vorgehen wurde es dem Beschwerdeführer verunmöglicht, sich sachgerecht zum Vorwurf falscher und unsubstanziierter Angaben zur Herkunft zu äussern. Auch im weiteren Verlauf des erstinstanzlichen Verfahrens erhielt er keine Gelegenheit, hierzu Stellung zu nehmen.</w:t>
      </w:r>
    </w:p>
    <w:p>
      <w:r>
        <w:rPr>
          <w:b/>
        </w:rPr>
        <w:t>E. 5.3.2</w:t>
      </w:r>
    </w:p>
    <w:p>
      <w:r>
        <w:t>Nach Durchsicht der Befragungsprotokolle erscheint zwar die Auffassung des SEM als nachvollziehbar, die geltend gemachten Asylgründe und beispielsweise auch gewisse Angaben zum Reiseweg und zu den Identitätspapieren seien unglaubhaft. Eine zuverlässige Aussage über die Glaubhaftigkeit der geltend gemachten Herkunft aus Tibet liess und lässt die Aktenlage aber nicht zu.</w:t>
      </w:r>
    </w:p>
    <w:p>
      <w:r>
        <w:rPr>
          <w:b/>
        </w:rPr>
        <w:t>E. 5.4</w:t>
      </w:r>
    </w:p>
    <w:p>
      <w:r>
        <w:t>Die Vorinstanz hat nach dem Gesagten den Untersuchungsgrundsatz und den Anspruch des Beschwerdeführers auf rechtliches Gehör verletzt sowie den rechtserheblichen Sachverhalt unvollständig festgestellt.</w:t>
      </w:r>
    </w:p>
    <w:p>
      <w:r>
        <w:rPr>
          <w:b/>
        </w:rPr>
        <w:t>E. 6</w:t>
      </w:r>
    </w:p>
    <w:p>
      <w:r>
        <w:t>Die Frage einer Heilung dieser Verfahrensmängel kann sich schon deshalb nicht stellen, weil sie im Rahmen des Beschwerdeverfahrens nicht behoben worden sind. Die Beschwerde ist deshalb insoweit gutzuheissen, als damit die Aufhebung der angefochtenen Verfügung vom 18. August 2014 beantragt worden ist. Die Sache ist zur korrekten Durchführung des Asylverfahrens im Sinn der Erwägungen und zur erneuten Beurteilung an die Vorinstanz zurückzuweisen.</w:t>
      </w:r>
    </w:p>
    <w:p>
      <w:r>
        <w:rPr>
          <w:b/>
        </w:rPr>
        <w:t>E. 7</w:t>
      </w:r>
    </w:p>
    <w:p>
      <w:r>
        <w:t>Bei dieser Sachlage erübrigt es sich, auf die weiteren Ausführungen in der Beschwerdeschrift näher einzugehen.</w:t>
      </w:r>
    </w:p>
    <w:p>
      <w:r>
        <w:rPr>
          <w:b/>
        </w:rPr>
        <w:t>E. 8</w:t>
      </w:r>
    </w:p>
    <w:p>
      <w:r>
        <w:t>Bei diesem Ausgang des Verfahrens sind keine Kosten zu erheben (Art. 63 Abs. 1 und 2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1200.-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