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E-5242/2024 vom 24. Juli 2024</w:t>
      </w:r>
    </w:p>
    <w:p>
      <w:r>
        <w:t>Bundesverwaltungsgericht, 2024-07-24, DE</w:t>
      </w:r>
    </w:p>
    <w:p>
      <w:r>
        <w:rPr>
          <w:b/>
        </w:rPr>
        <w:t xml:space="preserve">Quelle: </w:t>
      </w:r>
      <w:r>
        <w:t>https://mcp.opencaselaw.ch/entscheid/bvger_E-5242_2024_d20240724</w:t>
      </w:r>
    </w:p>
    <w:p>
      <w:r>
        <w:t>FR: TAF E-5242/2024 du 24 juillet 2024</w:t>
      </w:r>
    </w:p>
    <w:p>
      <w:r>
        <w:t>IT: TAF E-5242/2024 del 24 luglio 2024</w:t>
      </w:r>
    </w:p>
    <w:p>
      <w:pPr>
        <w:pStyle w:val="Heading2"/>
      </w:pPr>
      <w:r>
        <w:t>Regeste</w:t>
      </w:r>
    </w:p>
    <w:p>
      <w:r>
        <w:t>Asyl und Wegweisung | Asyl und Wegweisung; Verfügung des SEM vom 24.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E-5242/2024 Seite 5</w:t>
      </w:r>
    </w:p>
    <w:p>
      <w:r>
        <w:rPr>
          <w:b/>
        </w:rPr>
        <w:t>E. 4.1</w:t>
      </w:r>
    </w:p>
    <w:p>
      <w:r>
        <w:t>Die Vorinstanz begründete ihren ablehnenden Asylentscheid im We- sentlichen mit der mangelnden Glaubhaftigkeit der Vorbringen des Be- schwerdeführers. Seine Angaben dazu, wie sich die Beziehung zu seiner Partnerin entwickelt haben solle, seien teilweise schwer nachvollziehbar und nicht schlüssig. Es sei nicht verständlich, wie dieses Verhältnis un- bemerkt geblieben sein solle, obwohl sie sich über mehrere Monate hinweg regelmässig tagsüber getroffen hätten und es sich seinen Aussagen zu- folge nicht gehöre, sich mit einem Mädchen, besonders eines von einem anderen Clan, auf dem Land zu unterhalten. Angesichts der Reaktion ihrer Familie – sowohl er als auch sie seien nach der Ablehnung seines Heirats- antrags mit dem Tode bedroht worden – erscheine es nicht plausibel, dass sie sich abends aus ihrem Haus habe schleichen können, um ihn zu treffen. Vielmehr wäre zu erwarten gewesen, dass die Familie Vorsichtsmassnah- men ergriffen hätte, um ein solches Wiedersehen zu verhindern. Ferner überzeuge nicht, dass in einer patriarchalisch geprägten Clan-Gesellschaft wie Somalia ein Fremder sie ohne Zustimmung ihrer Familien respektive ihrer Clans verheiratet habe und sie regelmässig Unterstützung von Unbe- kannten erhalten hätten, ohne dass dies Fragen aufgeworfen hätte oder der Familie der Frau zu Ohren gekommen wäre. Insgesamt seien seine Aussagen zur Beziehung pauschal und detailarm ausgefallen und es ent- stehe – auch unter Berücksichtigung seiner geringen schulischen Qualifi- kationen und seines einfachen, ländlichen Lebensstils – nicht der Eindruck, er habe persönliche Erlebnisse geschildert.</w:t>
      </w:r>
    </w:p>
    <w:p>
      <w:r>
        <w:rPr>
          <w:b/>
        </w:rPr>
        <w:t>E. 4.2</w:t>
      </w:r>
    </w:p>
    <w:p>
      <w:r>
        <w:t>In seinem Rechtsmittel bekräftigte der Beschwerdeführer im Wesentli- chen die Glaubhaftigkeit seiner Vorbringen. Die Vorinstanz habe seine per- sönlichen Fähigkeiten und biografischen Hintergründe im Rahmen der Glaubhaftigkeitsbeurteilung nicht ausreichend berücksichtigt. Bereits im Gespräch, in dem seine Geliebte ihren Heiratswillen kundgetan habe, hät- ten sie gemeinsam beschlossen, Vorkehrungen für den Fall einer Ableh- nung des Heiratsantrags durch ihre Familien zu treffen. Sie hätten verein- bart, sich nachts nach der Ablehnung des Antrags zu treffen um das weitere Vorgehen zu besprechen. Wie abgemacht hätten sie sich dann nach der erfolglosen Vorsprache seiner Mutter bei ihrer Familie abends getroffen. Seiner Geliebten sei es gelungen, sich unter dem Vorwand, die Toilette aufsuchen zu müssen, von der Familie zu entfernen. Daraufhin habe er ihr versichert, dass er einen Scheich finden werde, der bereit sei, sie zu ver- mählen. Sein ehemaliger Koranlehrer habe sich schliesslich – im Wissen darum, dass dies für ihn heikel sein könnte – zur Trauung bereit erklärt. Unter dem Vorwand des Toilettengangs hätten sie sich erneut nachts</w:t>
      </w:r>
    </w:p>
    <w:p>
      <w:r>
        <w:t>E-5242/2024 Seite 6 getroffen und seien gemeinsam zum Scheich geflohen. Nach der Vermäh- lung habe der Scheich sie dabei unterstützt, Familien zu finden, bei denen sie hätten unterkommen und sich verstecken können. Seine Aussagen seien demnach vor dem Hintergrund seiner Biografie und Herkunft insge- samt konsistent und somit glaubhaft ausgefallen. Im Übrigen seien seine Vorbringen von asylrechtlicher Relevanz.</w:t>
      </w:r>
    </w:p>
    <w:p>
      <w:r>
        <w:rPr>
          <w:b/>
        </w:rPr>
        <w:t>E. 4.3</w:t>
      </w:r>
    </w:p>
    <w:p>
      <w:r>
        <w:t>In ihrer Vernehmlassung bekräftigte die Vorinstanz erneut, der Be- schwerdeführer habe die Vorbringen im Zusammenhang mit der behaup- teten Eheschliessung und den daraus resultierenden Problemen mit einem Mehrheitsclan nicht glaubhaft machen können, weshalb sich weitere Aus- führungen zum Schutzwillen und der Schutzfähigkeit seines eigenen Clans erübrigen würden.</w:t>
      </w:r>
    </w:p>
    <w:p>
      <w:r>
        <w:rPr>
          <w:b/>
        </w:rPr>
        <w:t>E. 4.4</w:t>
      </w:r>
    </w:p>
    <w:p>
      <w:r>
        <w:t>In seiner Replik verwies der Beschwerdeführer auf die Argumente in seinem Rechtsmittel, zumal die Vorinstanz in ihrer Vernehmlassung keinen Bezug auf seine Ausführungen in der Beschwerde genommen habe.</w:t>
      </w:r>
    </w:p>
    <w:p>
      <w:r>
        <w:rPr>
          <w:b/>
        </w:rPr>
        <w:t>E. 5.1</w:t>
      </w:r>
    </w:p>
    <w:p>
      <w:r>
        <w:t>Nach Prüfung der Akten kommt das Bundesverwaltungsgericht zum Schluss, dass die vorinstanzliche Verfügung zu bestätigen ist, soweit darin die Flüchtlingseigenschaft des Beschwerdeführers verneint und sein Asyl- gesuch abgelehnt wurde. Die diesbezüglichen Ausführungen in der Beschwerde vermögen den Erwägungen des SEM letztlich nichts Stich- haltiges entgegenzusetzen. Somit kann vorab auf die zutreffenden Er- wägungen der angefochtenen Verfügung verwiesen werden. Ergänzend hält das Bundesverwaltungsgericht Folgendes fest:</w:t>
      </w:r>
    </w:p>
    <w:p>
      <w:r>
        <w:rPr>
          <w:b/>
        </w:rPr>
        <w:t>E. 5.2</w:t>
      </w:r>
    </w:p>
    <w:p>
      <w:r>
        <w:t>Zunächst ist festzustellen, dass die Vorinstanz die Lebensumstände des Beschwerdeführers und seine biografischen Hintergründe (insbeson- dere seine beschränkte Schulbildung) bei der Entscheidfindung berück- sichtigt hat (vgl. angefochtene Verfügung S. 5). Dass sie dabei im Rahmen einer Gesamtbetrachtung letztlich zu einem anderen Ergebnis kam als der Beschwerdeführer, ist Bestandteil der materiellen Würdigung und vermag eine Aufhebung der Verfügung aus formellen Gründen nicht zu rechtferti- gen.</w:t>
      </w:r>
    </w:p>
    <w:p>
      <w:r>
        <w:rPr>
          <w:b/>
        </w:rPr>
        <w:t>E. 5.3</w:t>
      </w:r>
    </w:p>
    <w:p>
      <w:r>
        <w:t>Der Vorinstanz ist sodann darin zuzustimmen, dass die vom Beschwer- deführer beschriebenen Ereignisse unplausibel erscheinen und insgesamt nicht der Eindruck entsteht, bei seinen Vorbringen würden persönliche Er- lebnisse beschrieben. Soweit er seiner Sachverhaltsdarstellung im Rah-</w:t>
      </w:r>
    </w:p>
    <w:p>
      <w:r>
        <w:t>E-5242/2024 Seite 7 men der Beschwerde nun weitere Details hinzugefügt hat – beispielsweise, dass gemeinsame Treffen nach Ablehnung seines Heiratsantrags unter dem Vorwand des Toilettengangs möglich gewesen sein sollten oder dass der Scheich, der sie getraut habe, sich des persönlichen Risikos bewusst gewesen sei, das er mit ihrer Vermählung eingegangen sei – erscheinen diese nachgeschoben und darauf ausgelegt, seinen Schilderungen im Lichte der Argumentation in der angefochtenen Verfügung mehr Glaubhaf- tigkeit zu verleihen. Die Darstellung auf Beschwerdeebene widerspricht im Übrigen auch seinen Ausführungen im Rahmen der Anhörung, wonach seine Freundin sich aus dem Haus geschlichen habe, als ihre Eltern ge- schlafen hätten (vgl. SEM-act. A24 F143 und F161). Ihre abendlichen Tref- fen nach der Ablehnung des Heiratsantrags scheinen – entgegen der ent- sprechenden Darstellung in seinem Rechtsmittel – gemäss seinen Aussa- gen in der Anhörung denn auch nicht bereits vorgängig vereinbart worden zu sein. Vielmehr gab er an, sie aufgesucht und sich für den Abend mit ihr verabredet zu haben, um ihr von den Ereignissen zu berichten (vgl. a.a.O. F145 f. und F149).</w:t>
      </w:r>
    </w:p>
    <w:p>
      <w:r>
        <w:rPr>
          <w:b/>
        </w:rPr>
        <w:t>E. 5.4</w:t>
      </w:r>
    </w:p>
    <w:p>
      <w:r>
        <w:t>Im Übrigen fällt auf, dass die Schilderungen des Beschwerdeführers unsubstanziiert ausgefallen sind und keine persönliche Betroffenheit er- kennen lassen. Obwohl er in einfachen Verhältnissen aufgewachsen ist und kaum über nennenswerte Schulbildung verfügt, wäre zu erwarten ge- wesen, dass er erlebnisbasierter über die schwierigen Umstände dieser angeblichen Beziehung hätte berichten können. Sowohl die Ausführungen zur behaupteten Trauung durch einen Scheich, der sich durch die Vermäh- lung den Werten der somalischen Gesellschaft in erheblichem Masse wi- dersetzt hätte, als auch die mehrmonatige Flucht, auf der sie immer wieder von Fremden aufgenommen und versorgt worden seien, erscheinen ste- reotyp, detailarm und unplausibel, was sich nicht einzig durch die Biografie des Beschwerdeführers erklären lässt. Nach dem Gesagten ist demnach nicht davon auszugehen, der Beschwerdeführer habe seinen Heimatstaat aus den von ihn genannten Gründen und unter den vorgetragenen Um- ständen verlassen.</w:t>
      </w:r>
    </w:p>
    <w:p>
      <w:r>
        <w:rPr>
          <w:b/>
        </w:rPr>
        <w:t>E. 5.5</w:t>
      </w:r>
    </w:p>
    <w:p>
      <w:r>
        <w:t>Zusammenfassend ist daher festzuhalten, dass die Vorinstanz zu Recht die Flüchtlingseigenschaft des Beschwerdeführers verneint und sein Asylgesuch abgelehnt hat.</w:t>
      </w:r>
    </w:p>
    <w:p>
      <w:r>
        <w:t>E-5242/2024 Seite 8</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führte mit Blick auf den Vollzug der Wegweisung nach Somaliland insbesondere aus, dieser erweise sich weder aufgrund der ak- tuellen Sicherheitslage noch der humanitären Situation als unzumutbar. Sofern begünstigende Umstände vorlägen, sei der Vollzug von Wegwei- sungen in diese Region zumutbar. Seinen Befürchtungen vor Nachteilen im Zusammenhang mit seinen Asylgründen sei angesichts der festgestell- ten mangelnden Glaubhaftigkeit die Grundlage entzogen. Darüber hinaus sei er jung und bereits seit seiner Kindheit in der Landwirtschaft und der Kohlegewinnung tätig. Die entsprechende Berufserfahrung könne er auch in anderen Regionen Somalilands zum Einsatz bringen. Zudem verfüge er über ein familiäres Beziehungsnetz, das ihm bei seiner Rückkehr wirt- schaftlich und emotional behilflich sein könne. In seinem Heimatort gebe es ausserdem seinen Aussagen zufolge eine Apotheke, die er zur Behand- lung der geltend gemachten Rückenschmerzen aufsuchen könne.</w:t>
      </w:r>
    </w:p>
    <w:p>
      <w:r>
        <w:t>E-5242/2024 Seite 9</w:t>
      </w:r>
    </w:p>
    <w:p>
      <w:r>
        <w:rPr>
          <w:b/>
        </w:rPr>
        <w:t>E. 7.2.2</w:t>
      </w:r>
    </w:p>
    <w:p>
      <w:r>
        <w:t>Der Beschwerdeführer führte hinsichtlich der Zulässigkeit und Zumut- barkeit des Wegweisungsvollzugs unter anderem aus, er gehöre einem Minderheitenclan an und habe durch sein Verhalten einen einflussreichen Clan gegen sich aufgebracht. Er könne sich bei einer Rückkehr nicht wirk- sam vor Vergeltung schützen und auch eine Aufenthaltsalternative in So- maliland stehe ihm nicht zur Verfügung, zumal er als Angehöriger eines Minderheitenclans diesbezüglich nur sehr begrenzte Möglichkeiten habe und auch seine Arbeitserfahrung kaum ausreiche, um sich andernorts problemlos niederlassen zu können. In seiner Verfügung habe das SEM insgesamt ausser Acht gelassen, dass er als Angehöriger eines Minderhei- tenclans bei einer Rückkehr in seine Heimatregion keinen Rückhalt erhal- ten werde.</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E-5242/2024 Seite 10</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nach den vorstehenden Erwägungen nicht. Auch die allgemeine Menschenrechtssituation im Heimatstaat des Beschwerdeführers, sowie insbesondere auch seiner Heimatregion Soma- liland, lässt den Wegweisungsvollzug zum heutigen Zeitpunkt nicht als un- zulässig erscheinen (vgl. Referenzurteil des BVGer E-591/2018 vom 29. Juli 2020 E. 7.2.3).</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Gemäss bundesverwaltungsgerichtlicher Rechtsprechung ist beim Vollzug einer Wegweisung in die Region Somaliland nicht in grundsätzli- cher Weise von einer konkreten Gefährdung der gesamten Bevölkerung im massgeblichen Sinn und demnach nicht von einer generellen Unzumutbar- keit des Wegweisungsvollzugs auszugehen. Der Vollzugs erweist sich un- ter dem vom SEM genannten Vorbehalt des Vorliegens begünstigender Umstände (enge Verbindungen zur Region, Möglichkeit der Existenzsiche- rung oder wirkungsvolle Unterstützung durch den Familienclan) als zumut- bar (vgl. Referenzurteil a.a.O. E. 9.3.5).</w:t>
      </w:r>
    </w:p>
    <w:p>
      <w:r>
        <w:rPr>
          <w:b/>
        </w:rPr>
        <w:t>E. 8.3.2</w:t>
      </w:r>
    </w:p>
    <w:p>
      <w:r>
        <w:t>Den Akten sind nach Auffassung des Bundesverwaltungsgerichts keine Hinweise dafür zu entnehmen, der Beschwerdeführer könnte bei sei- ner Rückkehr in eine existenzgefährdende Notlage geraten. Solches hatte er auch für die Zeit vor der Ausreise nicht geltend gemacht (vgl. SEM-</w:t>
      </w:r>
    </w:p>
    <w:p>
      <w:r>
        <w:t>E-5242/2024 Seite 11 act. 24/20 ad F179 und F184 f.). Die Vorbringen, mit denen er sein Asyl- gesuch begründet hatte, haben sich als unglaubhaft herausgestellt, wes- halb sich weitere Ausführungen zur angeblichen Gefährdung aufgrund der konkreten individuellen Clansituation erübrigen. Die Begründung der Vor- instanz erscheint zwar tatsächlich eher pauschal; sie hat dem Beschwer- deführer eine sachgerechte Anfechtung der Verfügung aber nicht verun- möglicht und ist letztlich auch auf die mangelnde Glaubhaftigkeit seiner Asylgründe zurückzuführen. Für die beantragte Rückweisung der Sache an die Vorinstanz besteht demnach keine Veranlassung.</w:t>
      </w:r>
    </w:p>
    <w:p>
      <w:r>
        <w:rPr>
          <w:b/>
        </w:rPr>
        <w:t>E. 8.3.3</w:t>
      </w:r>
    </w:p>
    <w:p>
      <w:r>
        <w:t>Insgesamt ist für das Bundesverwaltungsgericht unbestritten, dass der Beschwerdeführer sich seit dem Kleinkindalter mit seiner Mutter und seinen Geschwistern in B._______ aufgehalten hat, wo er sowohl in der Landwirtschaft als auch in der Kohlegewinnung tätig war. Medizinische Vollzugshindernisse wurden in der Beschwerde nicht geltend gemacht. Bei dieser Aktenlage ist somit festzustellen, dass vorliegend auch keine unter dem Blickwinkel der Zumutbarkeit des Wegweisungsvollzugs relevanten Probleme des Beschwerdeführers in seiner Heimatregion glaubhaft ge- macht worden sind.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E-5242/2024 Seite 12</w:t>
      </w:r>
    </w:p>
    <w:p>
      <w:r>
        <w:rPr>
          <w:b/>
        </w:rPr>
        <w:t>E. 11.1</w:t>
      </w:r>
    </w:p>
    <w:p>
      <w:r>
        <w:t>Bei diesem Ausgang des Verfahrens wären die Kosten dem Be- schwerdeführer aufzuerlegen (Art. 63 Abs. 1 VwVG). Da indessen mit In- struktionsverfügung vom 17. Oktober 2024 sein Gesuch um Gewährung der unentgeltlichen Prozessführung gemäss Art. 65 Abs. 1 VwVG gutge- heissen wurde und keine Anhaltspunkte dafür vorliegen, dass sich seine finanzielle Lage seither entscheidrelevant verändert hätte, ist von der Auf- lage von Verfahrenskosten abzusehen.</w:t>
      </w:r>
    </w:p>
    <w:p>
      <w:r>
        <w:rPr>
          <w:b/>
        </w:rPr>
        <w:t>E. 11.2</w:t>
      </w:r>
    </w:p>
    <w:p>
      <w:r>
        <w:t>Mit derselben Zwischenverfügung wurde auch das Gesuch des Be- schwerdeführers um amtliche Verbeiständung gutgeheissen (Art. 102m Abs. 1 Bst. a AsylG) und seine Rechtsvertreterin antragsgemäss als amtli- che Rechtsbeiständin eingesetzt. Demnach ist dieser ein Honorar für die notwendigen Aufwendungen im Beschwerdeverfahren auszurichten. Ge- stützt auf die mit der Beschwerde eingereichte Kostennote, die angesichts des Beschwerdeumfangs sowie der kaum als überdurchschnittlich zu be- urteilenden Fallkomplexität zu hoch erscheint, und unter Berücksichtigung der äusserst kurzen Replikeingabe, der in Betracht zu ziehenden Bemes- sungsfaktoren (Art. 9–13 des Reglements vom 21. Februar 2008 über die Kosten und Entschädigungen vor dem Bundesverwaltungsgericht [VGKE, SR 173.320.2]) sowie den im der Zwischenverfügung kommunizierten ma- ximalen Stundenansatz von Fr. 150.– ist das Honorar auf insgesamt Fr. 1000.– (inkl. Auslagen) festzulegen.</w:t>
      </w:r>
    </w:p>
    <w:p>
      <w:r>
        <w:t>(Dispositiv nächste Seite)</w:t>
      </w:r>
    </w:p>
    <w:p>
      <w:r>
        <w:t>E-5242/2024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