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E-5242/2022 vom 17. Oktober 2022</w:t>
      </w:r>
    </w:p>
    <w:p>
      <w:r>
        <w:t>Bundesverwaltungsgericht, 2022-10-17, FR</w:t>
      </w:r>
    </w:p>
    <w:p>
      <w:r>
        <w:rPr>
          <w:b/>
        </w:rPr>
        <w:t xml:space="preserve">Quelle: </w:t>
      </w:r>
      <w:r>
        <w:t>https://mcp.opencaselaw.ch/entscheid/bvger_E-5242_2022_d20221017</w:t>
      </w:r>
    </w:p>
    <w:p>
      <w:r>
        <w:t>FR: TAF E-5242/2022 du 17 octobre 2022</w:t>
      </w:r>
    </w:p>
    <w:p>
      <w:r>
        <w:t>IT: TAF E-5242/2022 del 17 ottobre 2022</w:t>
      </w:r>
    </w:p>
    <w:p>
      <w:pPr>
        <w:pStyle w:val="Heading2"/>
      </w:pPr>
      <w:r>
        <w:t>Regeste</w:t>
      </w:r>
    </w:p>
    <w:p>
      <w:r>
        <w:t>Asile (sans exc&amp;eacute;cution du renvoi) (proc&amp;eacute;dure acc&amp;eacute;l&amp;eacute;r&amp;eacute;e) | Asile (sans exécution du renvoi) (procédure accélérée); décision du SEM du 17 octobre 2022</w:t>
      </w:r>
    </w:p>
    <w:p>
      <w:pPr>
        <w:pStyle w:val="Heading2"/>
      </w:pPr>
      <w:r>
        <w:t>Erwägungen</w:t>
      </w:r>
    </w:p>
    <w:p>
      <w:r>
        <w:rPr>
          <w:b/>
        </w:rPr>
        <w:t>E. 21</w:t>
      </w:r>
    </w:p>
    <w:p>
      <w:r>
        <w:t>novembre 2022 p. 6 ; E-2438/2022 du 20 juin 2022 p. 6 ; D-1728/2022 du 10 mai 2022, consid. 7.3), que les rapports cités dans son mémoire recours – d’ordre général et sans rapport avec le cas d’espèce – ne permettent pas de modifier ce constat, le recourant ayant lui-même reconnu ne pas avoir été particulièrement actif sur le front,</w:t>
      </w:r>
    </w:p>
    <w:p>
      <w:r>
        <w:t>E-5242/2022 Page 7 qu’en outre, indépendamment de la question de la vraisemblance, aucun début d’indice ne tend à démontrer que le contrôle de sa personne et de son véhicule par les talibans relevait d’un motif de l’art. 3 LAsi, à savoir lié à sa race, sa nationalité, sa religion, ses opinions politiques ou son appartenance à un groupe social déterminé, que cette mésaventure n’atteint quoi qu’il en soit pas l’intensité requise pour se révéler déterminante, le recourant n’ayant subi aucun préjudice et étant parvenu à prendre la fuite sans difficulté et sans être rattrapé, qu’il n’a de surcroît fait valoir aucun élément probant propre à démontrer que les talibans avaient l’intention de s’en prendre à lui du fait de son appartenance à une famille déterminée, qu’en effet, si tel avait été le cas, les talibans l’auraient – selon toute vraisemblance – interpellé à son domicile dans les trois à cinq jours ayant suivi cet événement, ce qui n’a pas été le cas, que, dans ces circonstances, son arrestation s’inscrit davantage dans le contexte d’insécurité générale prévalant en Afghanistan – ce qui n’est pas relevant sous l’angle de l’asile – et ne s’apparente pas à un acte délibérément ciblé à son encontre, qu’il est rappelé au demeurant que son appartenance à l’ethnie hazara ne constitue pas non plus un motif déterminant susceptible de fonder une crainte de future persécution, les conditions posées par la jurisprudence pour admettre une persécution collective des Hazaras en Afghanistan n’étant pas remplies en l’espèce (cf., à ce sujet et parmi d’autres, arrêt du Tribunal D-2142/2022 du 24 mai 2022 et réf. cit.), qu’enfin, l’intéressé ne saurait tirer argument du document du HCR précité dans la mesure où celui-ci ne contient que de simples recommandations, lesquelles n’ont pas de valeur contraignante pour les Etats parties, qu’en définitive, c’est à juste titre que le SEM a retenu que l’intéressé ne pouvait se prévaloir d’une crainte fondée de persécution en cas de retour en Afghanistan, qu’au vu de ce qui précède, le recours, en tant qu’il conteste le refus de reconnaissance de la qualité de réfugié et le rejet de la demande d’asile, doit être rejeté, et la décision attaquée confirmée sur ces points,</w:t>
      </w:r>
    </w:p>
    <w:p>
      <w:r>
        <w:t>E-5242/2022 Page 8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(cf. art. 65 al. 1 PA),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w:t>
      </w:r>
    </w:p>
    <w:p>
      <w:r>
        <w:t>(dispositif : page suivante)</w:t>
      </w:r>
    </w:p>
    <w:p>
      <w:r>
        <w:t>E-5242/2022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