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E-5229/2024 vom 13. August 2024</w:t>
      </w:r>
    </w:p>
    <w:p>
      <w:r>
        <w:t>Bundesverwaltungsgericht, 2024-08-13, DE</w:t>
      </w:r>
    </w:p>
    <w:p>
      <w:r>
        <w:rPr>
          <w:b/>
        </w:rPr>
        <w:t xml:space="preserve">Quelle: </w:t>
      </w:r>
      <w:r>
        <w:t>https://mcp.opencaselaw.ch/entscheid/bvger_E-5229_2024_d20240813</w:t>
      </w:r>
    </w:p>
    <w:p>
      <w:r>
        <w:t>FR: TAF E-5229/2024 du 13 août 2024</w:t>
      </w:r>
    </w:p>
    <w:p>
      <w:r>
        <w:t>IT: TAF E-5229/2024 del 13 agosto 2024</w:t>
      </w:r>
    </w:p>
    <w:p>
      <w:pPr>
        <w:pStyle w:val="Heading2"/>
      </w:pPr>
      <w:r>
        <w:t>Regeste</w:t>
      </w:r>
    </w:p>
    <w:p>
      <w:r>
        <w:t>Asyl und Wegweisung (beschleunigtes Verfahren) | Asyl und Wegweisung (beschleunigtes Verfahren); Verfügung des SEM vom 13. August 2024</w:t>
      </w:r>
    </w:p>
    <w:p>
      <w:pPr>
        <w:pStyle w:val="Heading2"/>
      </w:pPr>
      <w:r>
        <w:t>Erwägungen</w:t>
      </w:r>
    </w:p>
    <w:p>
      <w:r>
        <w:rPr>
          <w:b/>
        </w:rPr>
        <w:t>E. 19</w:t>
      </w:r>
    </w:p>
    <w:p>
      <w:r>
        <w:t>März 2024 E. 11.1), dass der Beschwerdeführer gemäss Aktenlage gesund und im erwerbsfä- higen Alter ist, über einen guten Bildungsstand, Sprachkenntnisse und Praktikumserfahrung verfügt sowie intakte Beziehungen zu Familienmit- gliedern in der Türkei unterhält, welche ihn in der Vergangenheit finanziell</w:t>
      </w:r>
    </w:p>
    <w:p>
      <w:r>
        <w:t>E-5229/2024 Seite 7 unterstützt haben oder vom türkischen Staat finanzielle Hilfe erhalten (vgl. SEM-Akte 14/14 F13 ff., F29 ff., F54 ff.; Beschwerde S. 7),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das Urteil in der vorliegenden Sache zeitgleich und mit gleichem Spruchkörper wie dasjenige des Vaters (E-1898/2024) ergeht, womit dem Koordinationsantrag entsprochen wird,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E-5229/2024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