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E-5221/2012 vom 10. Oktober 2012</w:t>
      </w:r>
    </w:p>
    <w:p>
      <w:r>
        <w:t>Bundesverwaltungsgericht, 2012-10-10, DE</w:t>
      </w:r>
    </w:p>
    <w:p>
      <w:r>
        <w:rPr>
          <w:b/>
        </w:rPr>
        <w:t xml:space="preserve">Quelle: </w:t>
      </w:r>
      <w:r>
        <w:t>https://mcp.opencaselaw.ch/entscheid/bvger_E-5221_2012</w:t>
      </w:r>
    </w:p>
    <w:p>
      <w:r>
        <w:t>FR: TAF E-5221/2012 du 10 octobre 2012</w:t>
      </w:r>
    </w:p>
    <w:p>
      <w:r>
        <w:t>IT: TAF E-5221/2012 del 10 ottobre 2012</w:t>
      </w:r>
    </w:p>
    <w:p>
      <w:pPr>
        <w:pStyle w:val="Heading2"/>
      </w:pPr>
      <w:r>
        <w:t>Regeste</w:t>
      </w:r>
    </w:p>
    <w:p>
      <w:r>
        <w:t>Nichteintreten auf Asylgesuch (kein Asylgesuch gemäss AsylG)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Die Beschwerde ist frist- und formgerecht erhoben (Art. 52 und Art. 108 VwVG Abs. 2 AsylG). Die Beschwerdevoraussetzungen sind insoweit erfüllt.</w:t>
      </w:r>
    </w:p>
    <w:p>
      <w:r>
        <w:rPr>
          <w:b/>
        </w:rPr>
        <w:t>E. 2.1</w:t>
      </w:r>
    </w:p>
    <w:p>
      <w:r>
        <w:t>Die Beschwerde erweist sich im Übrigen als offensichtlich unbegründet und ist im Verfahren einzelrichterlicher Zuständigkeit mit Zustimmung eines zweiten Richters (Art. 111 Bst. e AsylG) ohne Weiterungen und mit summarischer Begründung zu behandeln (Art. 111a Abs. 1 und Abs. 2 AsylG).</w:t>
      </w:r>
    </w:p>
    <w:p>
      <w:r>
        <w:rPr>
          <w:b/>
        </w:rPr>
        <w:t>E. 2.2</w:t>
      </w:r>
    </w:p>
    <w:p>
      <w:r>
        <w:t>Bei Beschwerden gegen Nichteintretensentscheide, mit denen es das BFM ablehnt, das Asylgesuch auf seine Begründetheit hin zu überprüfen (Art. 32-35a AsylG), ist die Beurteilungskompetenz der Beschwerdeinstanz grundsätzlich auf die Frage beschränkt, ob die Vorinstanz zu Recht auf das Asylgesuch nicht eingetreten ist. Der Antrag, es sei Asyl zu gewähren, liegt ausserhalb des zulässigen Prozessgegenstandes. Auf die Beschwerde ist insoweit nicht einzutreten. Da die Vorinstanz die Frage der Wegweisung und des Vollzugs materiell geprüft hat, kommt dem Bundesverwaltungsgericht diesbezüglich volle Kognition zu.</w:t>
      </w:r>
    </w:p>
    <w:p>
      <w:r>
        <w:rPr>
          <w:b/>
        </w:rPr>
        <w:t>E. 3.1</w:t>
      </w:r>
    </w:p>
    <w:p>
      <w:r>
        <w:t>Gemäss Art. 34 Abs. 1 wird auf Gesuche von Asylsuchenden aus verfolgungssicheren Staaten nach Art. 6a Abs. 2 Bst. a AsylG nicht eingetreten, ausser es gebe Hinweise auf eine Verfolgung. Nach der Rechtsprechung des Bundesverwaltungsgerichts gilt im Anwendungsbereich von Art. 34 Abs. 1 AsylG ein weiter Verfolgungsbegriff und ein tiefes Beweismass. Der Begriff der Verfolgung umfasst nicht nur ernsthafte Nachteile nach Art. 3 AsylG, sondern auch die von Menschenhand verursachten Wegweisungshindernisse (BVGE 2011/8 E. 4.2). Das bedeutet, dass im Vergleich zum - bereits erleichterten - Beweismass des Glaubhaftmachens ein nochmals reduzierter Massstab anzuwenden ist. Auch bei Asylsuchenden aus einem verfolgungssicheren Staat muss das Erfüllen der Flüchtlingseigenschaft geprüft werden, sobald in den Akten Hinweise auf Verfolgung (im soeben erläuterten Sinn) zu verzeichnen sind, deren Unglaubhaftigkeit nicht schon auf den ersten Blick erkannt werden kann (Urteil D-5898/2011 vom 31. Oktober 2011, mit weiteren Hinweisen). Sobald nicht "offensichtlich haltlose Hinweise" auf eine Verfolgung durch Dritte vorliegen, ist zur Prüfung auch im Hinblick auf eine inländischen Fluchtalternative auf das Asylgesuch einzutreten (vgl. BVGE 2007/8 E. 5.2 S. 77 am Ende EMARK 2004 Nr. 5 E.3c.bb S. 36 und E.3c.cc S. 36).</w:t>
      </w:r>
    </w:p>
    <w:p>
      <w:r>
        <w:rPr>
          <w:b/>
        </w:rPr>
        <w:t>E. 3.2</w:t>
      </w:r>
    </w:p>
    <w:p>
      <w:r>
        <w:t>Der Beschwerdeführer ist Staatsangehöriger Kosovos. Der Bundesrat hat dieses Land mit Beschluss vom 6. März 2009 zum Safe Country erklärt. Die formellen Voraussetzungen für einen Nichteintretensentscheid sind damit erfüllt. Somit bleibt zu prüfen, ob das BFM zu Recht erwogen hat, aus den Akten würden sich keine Hinweise ergeben, welche die in Bezug auf in Kosovo bestehende Vermutung der Verfolgungssicherheit widerlegen könnten. Die Vorinstanz hat in ihrer Verfügung vom 25. September 2012 einlässlich begründet, weshalb die Vorbringen des Beschwerdeführers offensichtlich unglaubhaft sind. Der Beschwerdeführer setzt sich mit der vorinstanzlichen Verfügung kaum auseinander und zeigt nicht auf, inwiefern diese Bundesrecht verletzt oder auf einer fehlerhaften Sachverhaltsfeststellung beruhen soll. Solches ist auch nicht ersichtlich. Der Beschwerdeführer macht geltend, aufgrund der hohen Schulden seines Bruders bei (...) bedroht worden zu sein. Fünf (...) seien bei ihm zu Hause aufgetaucht und hätten seine Familie bedroht. Als einer seine Mutter geschlagen habe, habe er diesen mit einem Holzscheit auf den Kopf geschlagen und sei geflüchtet. Bei der Flucht sei auf ihn geschossen worden. In Übereinstimmung mit der Vorinstanz ist festzustellen, dass seine Vorbringen widersprüchlich und realitätsfremd sind. So erachtet es das Gericht beispielsweise als unglaubhaft, dass es ihm gelungen ist, fünf Angreifern im selben Raum - von denen zwei mit Pistolen bewaffnet gewesen sein sollen - zu entkommen, ohne dass auch nur einer ihn konkret daran zu hindern versucht hat. Im Übrigen kann auf die ausführlichen und zutreffenden Erwägungen der vorinstanzlichen Verfügung verwiesen werden.</w:t>
      </w:r>
    </w:p>
    <w:p>
      <w:r>
        <w:rPr>
          <w:b/>
        </w:rPr>
        <w:t>E. 3.3</w:t>
      </w:r>
    </w:p>
    <w:p>
      <w:r>
        <w:t>Zusammenfassend ergibt sich, dass keine Hinweise auf eine Verfolgung vorliegen und die Vorinstanz auf das Asylgesuch zu Recht nicht eingetreten ist.</w:t>
      </w:r>
    </w:p>
    <w:p>
      <w:r>
        <w:rPr>
          <w:b/>
        </w:rPr>
        <w:t>E. 4</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5.1</w:t>
      </w:r>
    </w:p>
    <w:p>
      <w:r>
        <w:t>Der Vollzug ist schliesslich nach Art. 83 Abs. 2 AuG als möglich zu bezeichnen, weil es dem Beschwerdeführer obliegt, sich bei der zuständigen Vertretung des Heimatstaates die für eine Rückkehr notwendigen Reisedokumente zu beschaffen (BVGE 2008/34 E. 12 S. 513-515).</w:t>
      </w:r>
    </w:p>
    <w:p>
      <w:r>
        <w:rPr>
          <w:b/>
        </w:rPr>
        <w:t>E. 5.2</w:t>
      </w:r>
    </w:p>
    <w:p>
      <w:r>
        <w:t>Der Vollzug der Wegweisung ist nach Art. 83 Abs. 3 AuG unzulässig, wenn völkerrechtliche Verpflichtungen der Schweiz einer Weiterreise der Ausländerin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in sein Heimatland dort mit beachtlicher Wahrscheinlichkeit einer nach Art. 3 EMRK oder Art. 1 FoK verbotenen Strafe oder Behandlung ausgesetzt wäre. Der Vollzug der Wegweisung ist somit zulässig.</w:t>
      </w:r>
    </w:p>
    <w:p>
      <w:r>
        <w:rPr>
          <w:b/>
        </w:rPr>
        <w:t>E. 5.3</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 Weder die allgemeine Lage in Kosovo noch individuelle Gründe lassen auf eine konkrete Gefährdung im Falle einer Rückkehr des Beschwerdeführers in den Kosovo schliessen. Der Vollzug der Wegweisung ist demnach zumutbar.</w:t>
      </w:r>
    </w:p>
    <w:p>
      <w:r>
        <w:rPr>
          <w:b/>
        </w:rPr>
        <w:t>E. 6</w:t>
      </w:r>
    </w:p>
    <w:p>
      <w:r>
        <w:t>Aus den vorstehenden Erwägungen ergibt sich, dass die angefochtene Verfügung Bundesrecht nicht verletzt und auch kein anderer Beschwerdegrund erfüllt ist (Art. 106 Abs. 1 AsylG). Die Beschwerde ist abzuweisen, soweit darauf einzutreten ist.</w:t>
      </w:r>
    </w:p>
    <w:p>
      <w:r>
        <w:rPr>
          <w:b/>
        </w:rPr>
        <w:t>E. 7</w:t>
      </w:r>
    </w:p>
    <w:p>
      <w:r>
        <w:t>Dem Ersuchen des Beschwerdeführers um Gewährung der unentgeltlichen Prozessführung kann nicht entsprochen werden, weil sein Begehren als aussichtslos zu gelten hat (Art. 65 Abs. 1 VwVG). Der Beschwerdeführer hat daher die Kosten des vorliegenden Verfahrens zu tragen (Art. 63 Abs. 1 VwVG), die auf Fr. 600.- festzusetzen sind (Art. 1-3 des Reglements vom 21. Februar 2008 über die Kosten und Entschädigungen vor dem Bundesverwaltungsgericht [VGKE, SR 173.320.2]). Das Gesuch um Verzicht auf die Erhebung eines Kostenvorschusses wird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