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E-5216/2016 vom 11. April 2017</w:t>
      </w:r>
    </w:p>
    <w:p>
      <w:r>
        <w:t>Bundesverwaltungsgericht, 2017-04-11, DE</w:t>
      </w:r>
    </w:p>
    <w:p>
      <w:r>
        <w:rPr>
          <w:b/>
        </w:rPr>
        <w:t xml:space="preserve">Quelle: </w:t>
      </w:r>
      <w:r>
        <w:t>https://mcp.opencaselaw.ch/entscheid/bvger_E-5216_2016</w:t>
      </w:r>
    </w:p>
    <w:p>
      <w:r>
        <w:t>FR: TAF E-5216/2016 du 11 avril 2017</w:t>
      </w:r>
    </w:p>
    <w:p>
      <w:r>
        <w:t>IT: TAF E-5216/2016 del 11 aprile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dem Beschwerdeführer die unentgeltliche Rechtspflege (Art. 65 Abs. 1 VwVG) gewährt wurde (vgl. unten, E. 9), die Beschwerde also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Der Beschwerdeführer rügt eine mangelhafte Übersetzung durch den Dolmetscher. Es handelt sich dabei um eine formelle Rüge, welche vorab zu beurteilen ist, da sie allenfalls geeignet wäre, eine Kassation der vor-instanzlichen Verfügung zu bewirken.</w:t>
      </w:r>
    </w:p>
    <w:p>
      <w:r>
        <w:rPr>
          <w:b/>
        </w:rPr>
        <w:t>E. 3.2</w:t>
      </w:r>
    </w:p>
    <w:p>
      <w:r>
        <w:t>Der in Art. 29 Abs. 2 BV enthaltene Grundsatz des rechtlichen Gehörs umfasst eine Anzahl verschiedener verfassungsrechtlicher Verfahrensgarantien. Zunächst gehört dazu das Recht auf vorgängige Äusserung und Anhörung, welches den Betroffenen einen Einfluss auf die Ermittlung des wesentlichen Sachverhaltes sichert. Unerlässliches Gegenstück der Mitwirkungsrechte der Parteien bildet die Pflicht der Behörden, die Vorbringen der Betroffenen sorgfältig und ernsthaft zu prüfen und in der Entscheidfindung zu berücksichtigen; daraus folgt schliesslich auch die Pflicht der Behörden, ihren Entscheid zu begründen (Art. 35 Abs. 1 VwVG; BGE 123 I 31 E. 2c; vgl. etwa Anderas Auer/Giorgio Malinverni/ Michel Hottelier, a.a.O., S. 615 ff.; Reinhold Hotz, St. Galler Kommentar zu Art. 29 BV, Rz. 34 ff.). Der Anspruch auf rechtliches Gehör wird durch Art. 29-33 VwVG konkretisiert. Danach umfasst er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3.3</w:t>
      </w:r>
    </w:p>
    <w:p>
      <w:r>
        <w:t>Der Beschwerdeführer macht geltend, bei der Anhörung sei die Übersetzung des Dolmetschers mangelhaft gewesen. Der Dolmetscher habe seine Aussagen verfälscht, was die von der Vorinstanz geltend gemachten Widersprüche erkläre. Bei der Rückübersetzung habe der Dolmetscher bei problematischen Stellen gesagt, dies sei bereits an einer anderen Stelle korrigiert worden. Im Nachhinein habe er festgestellt, dass teilweise keine Korrektur der widersprüchlichen Angaben erfolgt sei.</w:t>
      </w:r>
    </w:p>
    <w:p>
      <w:r>
        <w:rPr>
          <w:b/>
        </w:rPr>
        <w:t>E. 3.4</w:t>
      </w:r>
    </w:p>
    <w:p>
      <w:r>
        <w:t>Der Rechtsvertreter des Beschwerdeführers machte zwar bereits mit Nachtrag vom 10. August 2016 darauf aufmerksam, die Übersetzung des Dolmetschers bei der Anhörung sei teilweise mangelhaft gewesen, fügte aber zugleich an, die protokollierten Angaben seien - durch teilweises Umformulieren - verständlich und wohl sinngemäss korrekt. Dementsprechend führt der Beschwerdeführer in seiner Beschwerde kein konkretes Beispiel einer falschen Übersetzung auf, sondern verweist pauschal auf die von der Vorinstanz geltend gemachten Widersprüche. Damit zeigt er nicht auf, wo eine fehlerhafte Übersetzung zu einer unkorrekten Widergabe seiner Vorbringen geführt haben soll. Zudem wurde ihm das Anhörungsprotokoll vollständig rückübersetzt und er hat jede Seite des Anhörungsprotokolls unterschrieben. Hätte er tatsächlich Einwände gehabt, wäre es an ihm gewesen, sich zu vergewissern, dass angebliche Fehler bei der Übersetzung tatsächlich korrigiert werden, bevor er die Seiten unterschreibt.</w:t>
      </w:r>
    </w:p>
    <w:p>
      <w:r>
        <w:rPr>
          <w:b/>
        </w:rPr>
        <w:t>E. 3.5</w:t>
      </w:r>
    </w:p>
    <w:p>
      <w:r>
        <w:t>Die formelle Rüge erweist sich mithin als unbegründet, weshalb keine Veranlassung besteht, die Verfügung aus formellen Gründen aufzuheben und an die Vorinstanz zurückzuweisen.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damit, die Angaben des Beschwerdeführers seien widersprüchlich und teilweise nicht nachvollziehbar. Er habe unterschiedliche Angaben zum Erhalt der Vorladung für den Militärdienst und zum Verlauf der folgenden Tage bis zu seiner Verhaftung gemacht. Seine Angaben zur Verhaftung, er habe bei den Tieren geschlafen und die anderen Familienmitglieder hätten die Verhaftung nicht mitbekommen, seien nicht nachvollziehbar. Die Schilderung seines Gefängnisaufenthaltes sei - auch in Berücksichtigung seines Alters - vage, unpersönlich und teils widersprüchlich ausgefallen. Ein tatsächlicher Kontakt mit den eritreischen Behörden sei daher nicht glaubhaft gemacht worden. Die illegale Ausreise aus Eritrea sei asylrechtlich nicht relevant. Es würden auch keine konkreten Indizien vorliegen, dass er bei einer Rückkehr nach Eritrea ernsthafte Nachteile zu gewärtigen hätte.</w:t>
      </w:r>
    </w:p>
    <w:p>
      <w:r>
        <w:rPr>
          <w:b/>
        </w:rPr>
        <w:t>E. 5.2</w:t>
      </w:r>
    </w:p>
    <w:p>
      <w:r>
        <w:t>Der Beschwerdeführer bringt vor, seine illegale Ausreise aus Eritrea werde von der Vorinstanz nicht bestritten. Gemäss Rechtsprechung des Bundesverwaltungsgerichts liege damit ein subjektiver Nachfluchtgrund vor, womit die Flüchtlingseigenschaft erfüllt sei. Es würden keine zuverlässigen Informationen darüber vorliegen, dass Minderjährige, die Eritrea illegal verlassen hätten, bei einer Rückkehr nicht mehr bestraft würden. Die vorinstanzliche Praxisänderung, wonach eine illegale Ausreise aus Eritrea für sich genommen nicht mehr als Asylgrund gelte, sei unzulässig.</w:t>
      </w:r>
    </w:p>
    <w:p>
      <w:r>
        <w:rPr>
          <w:b/>
        </w:rPr>
        <w:t>E. 5.3</w:t>
      </w:r>
    </w:p>
    <w:p>
      <w:r>
        <w:t>Die Vorinstanz hat zu Recht festgestellt, dass die Aussagen des Beschwerdeführers zahlreiche Widersprüche und Ungereimtheiten aufweisen. So sind die Angaben an der Befragung und der Anhörung betreffend Erhalt der Vorladung und Verlauf der nächsten Tage widersprüchlich. An der Befragung gab er zu Protokoll, er sei fünf Tage nach Erhalt der Vorladung verhaftet worden. Anlässlich der Anhörung gab er an, nach Erhalt der Vorladung habe er sich aus Angst versteckt. Nach fünf Tagen sei er wegen seines kranken Bruders nach Hause zurückgekehrt. Wiederum fünf Tage später sei er zu Hause verhaftet worden. Zudem ist es nicht nachvollziehbar, wieso der Beschwerdeführer nach seiner Weigerung, in den Militärdienst einzutreten, freiwillig nach Hause zurückgekehrt und sich dem Risiko einer Verhaftung ausgesetzt haben soll, zumal er selbst angab, er habe sich vor seiner Verhaftung beobachtet gefühlt. Es wäre auch unter Berücksichtigung seines jugendlichen Alters zu erwarten gewesen, dass er den viermonatigen Gefängnisaufenthalt anschaulich und mit konkreten Realkennzeichen hätte schildern können. Stattdessen blieben die Angaben zu diesem Ereignis vage und substanzarm, wodurch der Eindruck entsteht, dass er nicht auf persönlich Erlebtes zurückgreift. Zudem ist auf die widersprüchliche Schilderung seiner Flucht hinzuweisen. An der Befragung gab er an, er habe den Weg zur Grenze gekannt, da er aus dem Grenzgebiet stamme. Er sei nach seiner Flucht zur sudanesischen Grenze gelaufen. An der Anhörung sagte er hingegen, er habe sich nach der Flucht drei Tage bei Leuten versteckt. Diese hätten ihm den Fluchtweg gezeigt. Er habe den Weg aber nicht gefunden, stattdessen sei er durch Zufall auf seine Schafe gestossen. In Anbetracht dieser Widersprüche und Ungereimtheiten ist in Übereinstimmung mit der Vorinstanz festzuhalten, dass es dem Beschwerdeführer nicht gelungen ist, eine im Zeitpunkt seiner Ausreise aus Eritrea bestehende oder drohende asylrechtlich relevante Gefährdung glaubhaft zu machen.</w:t>
      </w:r>
    </w:p>
    <w:p>
      <w:r>
        <w:rPr>
          <w:b/>
        </w:rPr>
        <w:t>E. 6.1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6.2</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Bezüglich der zusätzlichen Anknüpfungspunkte gilt der gleiche Beweisstandard wie bei der Prüfung der Flüchtlingseigenschaft; das heisst, sie sind zu beweisen, wenn der strikte Beweis möglich ist, und andernfalls wenigstens glaubhaft zu machen (vgl. Art. 7 Abs. 1 AsylG).</w:t>
      </w:r>
    </w:p>
    <w:p>
      <w:r>
        <w:rPr>
          <w:b/>
        </w:rPr>
        <w:t>E. 6.4</w:t>
      </w:r>
    </w:p>
    <w:p>
      <w:r>
        <w:t>Die Frage der Zulässigkeit der Praxisänderung der Vorinstanz bezüglich der flüchtlingsrechtlichen Beurteilung der illegalen Ausreise aus Eritrea ist vom Bundesverwaltungsgericht im genannten Koordinationsverfahren mittlerweile geklärt worden. Nicht nur, aber auch für Minderjährige kommt das Gericht zum Schluss, dass allein aufgrund einer illegalen Ausreise keine begründete Furcht vor asylrechtlich beachtlicher Verfolgung angenommen werden kann (ausführlich dazu Urteil D-7898/2015, E. 4.6-5.1 [vgl. oben, E. 3.3]). Aufgrund des oben Gesagten kann dem Beschwerdeführer nicht geglaubt werden, dass er wegen Verweigerung des Militärdienstes inhaftiert worden sein soll. Weitere Anknüpfungspunkte, welche ihn in den Augen des eritreischen Regimes als missliebige Person erscheinen lassen beziehungsweise zu einer Schärfung des Profils und dadurch zu einer flüchtlingsrechtlich relevanten Verfolgungsgefahr führen könnten, sind nicht erkennbar. Somit ist vorliegend nicht von einer asylrechtlich beachtlichen Verfolgung auszugehen.</w:t>
      </w:r>
    </w:p>
    <w:p>
      <w:r>
        <w:rPr>
          <w:b/>
        </w:rPr>
        <w:t>E. 7.1</w:t>
      </w:r>
    </w:p>
    <w:p>
      <w:r>
        <w:t>Lehnt die Vorinstanz das Asylgesuch ab oder tritt sie nicht darauf ein, so verfügt sie in der Regel die Wegweisung aus der Schweiz und ordnet den Vollzug an (Art. 44 AsylG).</w:t>
      </w:r>
    </w:p>
    <w:p>
      <w:r>
        <w:rPr>
          <w:b/>
        </w:rPr>
        <w:t>E. 7.2</w:t>
      </w:r>
    </w:p>
    <w:p>
      <w:r>
        <w:t>Die Vorinstanz hat in der angefochtenen Verfügung vom 19. August 2016 die vorläufige Aufnahme des Beschwerdeführers in der Schweiz angeordnet. Demnach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23. November 2016 wurde das Gesuch um Gewährung der unentgeltlichen Prozessführung gutgeheissen.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