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E-5215/2019 vom 11. Oktober 2019</w:t>
      </w:r>
    </w:p>
    <w:p>
      <w:r>
        <w:t>Bundesverwaltungsgericht, 2019-10-11, DE</w:t>
      </w:r>
    </w:p>
    <w:p>
      <w:r>
        <w:rPr>
          <w:b/>
        </w:rPr>
        <w:t xml:space="preserve">Quelle: </w:t>
      </w:r>
      <w:r>
        <w:t>https://mcp.opencaselaw.ch/entscheid/bvger_E-5215_2019</w:t>
      </w:r>
    </w:p>
    <w:p>
      <w:r>
        <w:t>FR: TAF E-5215/2019 du 11 octobre 2019</w:t>
      </w:r>
    </w:p>
    <w:p>
      <w:r>
        <w:t>IT: TAF E-5215/2019 del 11 ottobre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3 AsylG und Art. 52 Abs. 1 VwVG) ist insoweit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das Asylgesuch der Beschwerdeführerin gestützt auf Art. 40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als sichere Drittstaaten, in denen nach seinen Feststellungen Sicherheit vor Verfolgung herrscht.</w:t>
      </w:r>
    </w:p>
    <w:p>
      <w:r>
        <w:rPr>
          <w:b/>
        </w:rPr>
        <w:t>E. 5.2</w:t>
      </w:r>
    </w:p>
    <w:p>
      <w:r>
        <w:t>Die Vorbringen der Beschwerdeführerin befand die Vorinstanz als nicht asylrelevant, weshalb sie die Flüchtlingseigenschaft nicht erfülle. Ihre Schwierigkeiten bei der Arbeitssuche in Polen würden sich auf die wirtschaftlichen Lebensbedingungen in ihrem Heimatstaat beziehen. Die Vermutung, ihre Magisterarbeit sei durch fremde Menschen umgeschrieben worden, beziehe sich ebenfalls nicht auf eine Verfolgung im Sinne von Art. 3 AsylG. Die geltend gemachten sexuellen Übergriffe seien durch Dritte erfolgt und würden vom polnischen Staat weder unterstützt noch gebilligt. Die polnischen Behörden seien schutzwillig und schutzfähig, und sie könne sich bezüglich der Übergriffe an die heimatlichen Behörden wenden. Gemäss ihren Angaben habe sie seit 2010 keinen Kontakt mehr zum Funktionär, welcher sie sexuell belästigt haben solle. Sie mache keine weiterführenden Konsequenzen geltend, so dass nicht davon auszugehen sei, in absehbarer Zukunft werde sich eine Verfolgung verwirklichen.</w:t>
      </w:r>
    </w:p>
    <w:p>
      <w:r>
        <w:rPr>
          <w:b/>
        </w:rPr>
        <w:t>E. 5.3</w:t>
      </w:r>
    </w:p>
    <w:p>
      <w:r>
        <w:t>In ihrer Beschwerde macht die Beschwerdeführerin geltend, sie werde in Polen wie ein Mensch zweiter Klasse behandelt. Als sie starke Schmerzen gehabt habe und krank gewesen sei, sei sie nicht korrekt behandelt worden. Eines Tages sei in ihr Haus eingebrochen worden. Die physische Kopie sowie auch alle digitalen Exemplare ihrer Abschlussarbeit seien verfälscht worden und sie sei vergewaltigt worden. Bei all diesen Vorfällen habe sie keine Hilfe erhalten und die heimatlichen Behörden hätten ihr keine Informationen über allfällige Abklärungen oder den Verfahrensstand gegeben. Ihre Anfragen seien komplett ignoriert worden. Die Vorinstanz habe es unterlassen, ihre psychische Verfassung den Umständen entsprechend zu würdigen. Sie habe sich damit begnügt in zwei Sätzen darauf hinzuweisen, dass (...) in Polen behandelbar sei. Es fehle an einer Auseinandersetzung mit dem genauen Umstand ihrer psychischen und physischen Leiden. Die Vorinstanz verkenne, dass die (...) nicht direkt auf die Unglaubhaftigkeit ihrer Aussagen schliessen lasse. Es sei eine umfassende Abklärung zu deren Hintergrund nötig. Die Vorinstanz sei deshalb anzuweisen, ihre gesundheitliche Verfassung abklären zu lassen und aufgrund dieses vollumfänglichen Sachverhalts einen angemessenen Entscheid zu treffen.</w:t>
      </w:r>
    </w:p>
    <w:p>
      <w:r>
        <w:rPr>
          <w:b/>
        </w:rPr>
        <w:t>E. 5.4</w:t>
      </w:r>
    </w:p>
    <w:p>
      <w:r>
        <w:t>Dem Arztbericht des Stadtspitals C._______ lässt sich entnehmen, dass bei der Beschwerdeführerin ein hochgradiger Verdacht auf (...) diagnostiziert wurde. Die Ursache für die von der Beschwerdeführerin geltend gemachten Unterleibsschmerzen blieben hingegen unklar. Weiter leide die Beschwerdeführerin an einem schweren Eisenmangel und Vitamin B12-Mangel. Gemäss dem Kurzbericht des D._______ sei die (...) immer noch aktiv. Die Beschwerdeführerin habe sich bezüglich der geltend gemachten Bauchschmerzen einverstanden erklärt, eine laxative Therapie mit Magnesium durchzuführen. Bezüglich der Psyche habe sie geäussert, es gehe ihr gut und sie benötige kein Therapeutikum.</w:t>
      </w:r>
    </w:p>
    <w:p>
      <w:r>
        <w:rPr>
          <w:b/>
        </w:rPr>
        <w:t>E. 6.1</w:t>
      </w:r>
    </w:p>
    <w:p>
      <w:r>
        <w:t>Die Vorinstanz ist in ihren Erwägungen zur zutreffenden Erkenntnis gelangt, die von der Beschwerdeführerin geltend gemachten Verfolgungsvorbringen würden den Anforderungen an die Asylrelevanz nicht genügen, weshalb sie die Flüchtlingseigenschaft nicht erfülle. Auf die Erwägungen der Vorinstanz und auf die Zusammenfassung unter E. 5.1 kann zur Vermeidung von Wiederholungen verwiesen werden. Sie sind in keinem Punkt zu beanstanden. Die Beschwerdeführerin wiederholt in ihrer Beschwerde den Sachverhalt bezüglich der geltend gemachten Verfälschung ihrer Magisterarbeit und der angeblichen Vergewaltigung. Entgegen der Ansicht der Beschwerdeführerin schloss die Vorinstanz nicht zufolge ihrer psychischen Erkrankung auf die Unglaubhaftigkeit ihrer Asylvorbringen, sondern befand diese zutreffend als nicht asylrelevant. Bei Polen handelt es sich um einen verfolgungssicheren Staat im Sinne von Art. 6a Abs. 2 Bst. a AsylG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 Grund konkreter und substantiierter Hinweise diese Regelvermutung umgestossen werden kann (vgl. u.a. Urteil des BVGer E-416/2019 vom 30. Januar 2019 E. 5.4). Solche Hinweise gegen diese Regelvermutung vermochte die Beschwerdeführerin nicht geltend zu machen. Vielmehr geht aus ihren Darstellungen hervor, dass sie sich bezüglich der behaupteten Vergewaltigung nicht an die polnischen Behörden gewandt und um Schutz ersucht hat (vgl. act. A16 F37).</w:t>
      </w:r>
    </w:p>
    <w:p>
      <w:r>
        <w:rPr>
          <w:b/>
        </w:rPr>
        <w:t>E. 6.2</w:t>
      </w:r>
    </w:p>
    <w:p>
      <w:r>
        <w:t>Zusammenfassend hat die Beschwerdeführerin nichts vorgebracht, was geeignet wäre, ihre Flüchtlingseigenschaft nachzuweisen oder zumindest glaubhaft zu machen. Die Vorinstanz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Von dieser Regel wird dann abgewichen, wenn die asylsuchende Person im Besitz einer gültigen ausländerrechtlichen Aufenthalts- oder Niederlassungsbewilligung ist (vgl. Art. 32 Bst. a der Asylverordnung 1 über Verfahrensfragen vom 11. August 1999 [AsylV1; SR 142.311]). Die Wegweisung wird praxisgemäss auch dann nicht verfügt, wenn eine asylsuchende Person grundsätzlich über einen Anspruch auf Erteilung einer Aufenthaltsbewilligung verfügt und diesbezüglich ein Gesuch bei der zuständigen kantonalen Ausländerbehörde bereits pendent ist (vgl. dazu bspw. das Urteil des Bundesverwaltungsgerichts D-7983/2009 vom 13. Januar 2010 E. 4.1 unter Hinweis auf Entscheidungen und Mitteilungen der Schweizerischen Asylrekurskommission [EMARK] 2001 Nr. 21).</w:t>
      </w:r>
    </w:p>
    <w:p>
      <w:r>
        <w:rPr>
          <w:b/>
        </w:rPr>
        <w:t>E. 7.2</w:t>
      </w:r>
    </w:p>
    <w:p>
      <w:r>
        <w:t>Als Staatsangehörige Polens ist die Beschwerdeführerin zwar Bürgerin der Europäischen Union, weshalb sie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verfügt. Dieses Einreise- und Aufenthaltsrecht aus dem FZA steht jedoch einer Anordnung der Wegweisung nicht entgegen, da sich die Beschwerdeführerin nicht aus einem der im Freizügigkeitsabkommen genannten Gründe in der Schweiz aufhält, sondern alleine zwecks Einreichung eines Asylgesuchs in die Schweiz eingereist ist (vgl. u.a. Urteil des Bundesverwaltungsgerichts D-2625/2017 vom 30. Juni 2017 und D-1333/2014 vom 19. März 2014 E. 7.1 und 7.2). Die Wegweisung wurde demnach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sich aus den Akten keine Anhaltspunkte dafür ergeben, der Beschwerdeführerin würde im Falle einer Rückkehr nach Polen mit beachtlicher Wahrscheinlichkeit eine durch Art. 3 EMRK verbotene Strafe oder Behandlung drohen. Der Vollzug der Wegweisung ist zulässig.</w:t>
      </w:r>
    </w:p>
    <w:p>
      <w:r>
        <w:rPr>
          <w:b/>
        </w:rPr>
        <w:t>E. 8.3</w:t>
      </w:r>
    </w:p>
    <w:p>
      <w:r>
        <w:t>Weder die allgemeine Lage in Polen noch individuelle Gründe lassen auf eine konkrete Gefährdung der Beschwerdeführerin im Falle einer Rückkehr schliessen. Die Beschwerdeführerin verfügt in Polen über ein familiäres Beziehungsnetz, welches ihr bei der Wiedereingliederung behilflich sein wird. Entgegen der Ansicht der Beschwerdeführerin hat die Vorinstanz den gesundheitlichen Sachverhalt genügend abgeklärt und sich damit auseinandergesetzt. Wie dies die Vorinstanz zutreffend festgehalten hat, ist die Behandlung und Medikation von (...) auch in Polen durchführbar und die Beschwerdeführerin hat Zugang zu den dafür vorgesehenen Institutionen (vgl. Christoph Sowada/Anna Sagan/Iwona Kowalska-Bobko, Health Systems in Transition, Poland Health System Review 2019). 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der Beschwerdeführerin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