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E-520/2024 vom 8. Februar 2024</w:t>
      </w:r>
    </w:p>
    <w:p>
      <w:r>
        <w:t>Bundesverwaltungsgericht, 2024-02-08, DE</w:t>
      </w:r>
    </w:p>
    <w:p>
      <w:r>
        <w:rPr>
          <w:b/>
        </w:rPr>
        <w:t xml:space="preserve">Quelle: </w:t>
      </w:r>
      <w:r>
        <w:t>https://mcp.opencaselaw.ch/entscheid/bvger_E-520_2024</w:t>
      </w:r>
    </w:p>
    <w:p>
      <w:r>
        <w:t>FR: TAF E-520/2024 du 8 février 2024</w:t>
      </w:r>
    </w:p>
    <w:p>
      <w:r>
        <w:t>IT: TAF E-520/2024 del 8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Asylgesetz nichts anderes bestimmt (Art. 37 VGG und Art. 6 AsylG). Die Beschwerde am Bundesverwaltungsgericht ist vorliegend zulässig (Art. 105 AsylG; Art. 31 ff. VGG) und die übrigen Sachurteilsvoraus-setzungen sind nach Beschwerdeverbesserung erfüllt (Art. 48 Abs. 1 und 52 VwVG; Art. 108 Abs. 3 AsylG).</w:t>
      </w:r>
    </w:p>
    <w:p>
      <w:r>
        <w:rPr>
          <w:b/>
        </w:rPr>
        <w:t>E. 1.2</w:t>
      </w:r>
    </w:p>
    <w:p>
      <w:r>
        <w:t>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 wie nachfolgend erläutert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2.2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3.1</w:t>
      </w:r>
    </w:p>
    <w:p>
      <w:r>
        <w:t>Der Beschwerdeführer führte gegen die beabsichtigte Überstellung nach Deutschland an, er wolle in der Schweiz bleiben. In Deutschland habe er sich nicht sicher gefühlt. Er sei von vier Personen attackiert worden, weil er politisch aktiv sei. In einem Restaurant sei er gar von (...) erkannt und bedroht worden. Er habe sich zwar bei der Polizei gemeldet, habe jedoch keinen genügenden Schutz erhalten.</w:t>
      </w:r>
    </w:p>
    <w:p>
      <w:r>
        <w:rPr>
          <w:b/>
        </w:rPr>
        <w:t>E. 3.2</w:t>
      </w:r>
    </w:p>
    <w:p>
      <w:r>
        <w:t>Auf Beschwerdeebene macht er unter Beilage einer Anzeigenerstattung des Landeskriminalamts B._______ vom 8. März 2023 und zweier Zeitungsartikel geltend, er habe an drei Demonstrationen teilgenommen und sei in den sozialen Medien seit sechs Monaten politisch aktiv, weswegen er vom (...) aufgespürt worden sei. Die Angst, sich weiter in Deutschland aufhalten zu müssen, wirke sich auf eine Psyche aus.</w:t>
      </w:r>
    </w:p>
    <w:p>
      <w:r>
        <w:rPr>
          <w:b/>
        </w:rPr>
        <w:t>E. 4.1</w:t>
      </w:r>
    </w:p>
    <w:p>
      <w:r>
        <w:t>Den vom Beschwerdeführer beim SEM eingereichten Unterlagen ist zu entnehmen, dass er am 9. März 2023 in Deutschland ein Asylgesuch eingereicht hatte. Für seine Einreise nach Deutschland nutzte er ein von Deutschland ausgestelltes Studentenvisum mit Gültigkeit vom (...) 2021 bis zum (...) 2021. Deutschland gewährte zunächst eine Fortbestandsfiktion; eine Verlängerung der Aufenthaltserlaubnis wurde am 18. August 2023 abgelehnt. Am 22. August 2023 zog der Beschwerdeführer sein Asylgesuch zurück. Die deutschen Behörden hiessen das Gesuch des SEM vom 26. Oktober 2023 um Wiederaufnahme des Beschwerdeführers gestützt auf Art. 18 Abs. 1 Bst. b Dublin-III-VO am 30. Oktober 2023 gut. Die Zuständigkeit Deutschlands ist somit grundsätzlich gegeben. Dabei ist insbesondere festzuhalten, dass die Dublin-III-VO den Schutzsuchenden kein Recht einräumt, den ihren Antrag prüfenden Staat selbst auszuwählen (vgl. BVGE 2010/45 E. 8.3). Die persönliche Präferenz des Beschwerdeführers ist daher unerheblich.</w:t>
      </w:r>
    </w:p>
    <w:p>
      <w:r>
        <w:rPr>
          <w:b/>
        </w:rPr>
        <w:t>E. 4.2</w:t>
      </w:r>
    </w:p>
    <w:p>
      <w:r>
        <w:t>Das Bundesverwaltungsgericht geht in ständiger Rechtsprechung davon aus, dass das deutsche Asylsystem keine systemischen Mängel im Sinne von Art. 3 Abs. 2 zweiter Satz Dublin-III-VO aufweist (vgl. etwa Urteile des BVGer F-411/2024 vom 29. Januar 2024 E. 4.2; E-1107/2023 vom 6. März 2023; D-1062/2023 vom 28. Februar 2023 E. 3.). Es wird demnach vermutet, dass dieses Land seine völker- und gemeinschaftsrechtlichen Verpflichtungen einhält. Diese Vermutung kann allerdings in einem konkreten Fall widerlegt werden, was nachfolgend unter dem Blickwinkel vom Art. 17 Abs. 1 erster Satz Dublin-III-VO geprüft wird.</w:t>
      </w:r>
    </w:p>
    <w:p>
      <w:r>
        <w:rPr>
          <w:b/>
        </w:rPr>
        <w:t>E. 4.3</w:t>
      </w:r>
    </w:p>
    <w:p>
      <w:r>
        <w:t>Der Beschwerdeführer hat kein konkretes und ernsthaftes Risiko dargetan, welches auf eine drohende Verletzung der genannten Garantien deuten würde. In Bezug auf sein Vorbringen, sich in Deutschland vor (...) zu fürchten, ist festzuhalten, dass keine Anhaltspunkte dafür bestehen, dass die deutschen Behörden nicht in der Lage wären, dem Beschwerdeführer einen allenfalls nötigen Schutz zukommen zu lassen. Deutschland ist ein Rechtsstaat mit einem funktionierenden Justizsystem, verfügt über schutzwillige und -fähige Polizeibehörden. Deren Hilfe könnte der Beschwerdeführer im Falle einer Bedrohung durch Dritte in Anspruch nehmen.</w:t>
      </w:r>
    </w:p>
    <w:p>
      <w:r>
        <w:rPr>
          <w:b/>
        </w:rPr>
        <w:t>E. 4.4</w:t>
      </w:r>
    </w:p>
    <w:p>
      <w:r>
        <w:t>Was den medizinischen Sachverhalt anbelangt ist zunächst festzuhalten, dass der Beschwerdeführer gemäss eigenen Angaben in Deutschland an Depressionen gelitten habe und suizidal gewesen sei; seit er in der Schweiz sei, gehe es ihm besser. Ausserdem leide er seit seiner Kindheit an (...). Den Akten ist ferner zu entnehmen, dass der Beschwerdeführer im Rahmen einer tätlichen Auseinandersetzung am 3. November 2023 Verletzungen an der Nase und am Brustkorb erlitt, die am 4. November 2023 ärztlich behandelt worden sind (SEM-Akten [...]-25/6). Auf Beschwerdeebene wird lediglich unsubstantiiert dargelegt, dass sich die Angst, nach Deutschland zurückkehren zu müssen, auf seine Psyche auswirke. Dass er in der Schweiz wegen seiner psychischen Beschwerden behandelt worden wäre, ist den Akten hingegen nicht zu entnehmen und wird auch nicht geltend gemacht. Die gesundheitlichen Beschwerden sind denn auch in Deutschland behandelbar, sollte der Beschwerdeführer nach seiner Rückkehr dorthin eine medizinische beziehungsweise eine psychiatrische Behandlung benötigen. Deutschland verfügt über eine ausreichende medizinische Infrastruktur und ist gemäss Art. 19 Abs. 1 der Richtlinie 2013/33/EU des Europäischen Parlaments und des Rates vom 26. Juni 2013 (sog. Aufnahmerichtlinie) verpflichtet, ihm die erforderliche medizinische Versorgung zu gewähren.</w:t>
      </w:r>
    </w:p>
    <w:p>
      <w:r>
        <w:rPr>
          <w:b/>
        </w:rPr>
        <w:t>E. 4.5</w:t>
      </w:r>
    </w:p>
    <w:p>
      <w:r>
        <w:t>Die Vorinstanz hat somit das Selbsteintrittsrecht von Art. 17 Dublin-III-VO zu Recht nicht ausgeübt. Den Akten sind sodann mit Blick auf einen Selbsteintritt gestützt auf Art. 29a AsylV1 keine Hinweise auf eine gesetzeswidrige Ermessensausübung (vgl. BVGE 2015/9 E. 7 f.) oder ein Über- oder Unterschreiten des Ermessens (vgl. Art. 106 Abs. 1 Bst. a AsylG) durch die Vorinstanz zu entnehmen.</w:t>
      </w:r>
    </w:p>
    <w:p>
      <w:r>
        <w:rPr>
          <w:b/>
        </w:rPr>
        <w:t>E. 5</w:t>
      </w:r>
    </w:p>
    <w:p>
      <w:r>
        <w:t>Die Vorinstanz ist demnach zu Recht gestützt auf Art. 31a Abs. 1 Bst. b AsylG auf das Asylgesuch des Beschwerdeführers nicht eingetreten und hat die Wegweisung nach Deutschland angeordnet.</w:t>
      </w:r>
    </w:p>
    <w:p>
      <w:r>
        <w:rPr>
          <w:b/>
        </w:rPr>
        <w:t>E. 6</w:t>
      </w:r>
    </w:p>
    <w:p>
      <w:r>
        <w:t>Nach dem Gesagten ist die Beschwerde abzuweisen. Mit dem vorliegenden Urteil fällt der am 25. Januar 2024 angeordnete superprovisorische Vollzugsstopp dahin.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