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E-520/2018 vom 7. Februar 2018</w:t>
      </w:r>
    </w:p>
    <w:p>
      <w:r>
        <w:t>Bundesverwaltungsgericht, 2018-02-07, DE</w:t>
      </w:r>
    </w:p>
    <w:p>
      <w:r>
        <w:rPr>
          <w:b/>
        </w:rPr>
        <w:t xml:space="preserve">Quelle: </w:t>
      </w:r>
      <w:r>
        <w:t>https://mcp.opencaselaw.ch/entscheid/bvger_E-520_2018</w:t>
      </w:r>
    </w:p>
    <w:p>
      <w:r>
        <w:t>FR: TAF E-520/2018 du 7 février 2018</w:t>
      </w:r>
    </w:p>
    <w:p>
      <w:r>
        <w:t>IT: TAF E-520/2018 del 7 febbraio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hier verwiesen werden (vgl. BVGE 2015/3 E. 6.5.1, BVGE 2012/5 E. 2.2).</w:t>
      </w:r>
    </w:p>
    <w:p>
      <w:r>
        <w:rPr>
          <w:b/>
        </w:rPr>
        <w:t>E. 5.1</w:t>
      </w:r>
    </w:p>
    <w:p>
      <w:r>
        <w:t>Die Vorinstanz gelangt in der angefochtenen Verfügung zum Schluss, die Vorbringen des Beschwerdeführers hielten weder den Anforderungen an das Glaubhaftmachen nach Art. 7 AyslG noch denjenigen an die Flüchtlingseigenschaft gemäss Art. 3 AsylG stand. Bezüglich der erhaltenen Todesdrohungen sei bereits im Entscheid vom 14. Juni 2017 und im Urteil des Bundesverwaltungsgerichts vom 9. August 2017 ausgeführt worden, dass der Beschwerdeführer über kein Profil verfüge, das - wenn überhaupt - über niedrigprofilierte exilpolitische Erscheinungsformen hinausgehe. Vor diesem Hintergrund erscheine fraglich, dass er aus seinem Heimatland Todesdrohungen auf sein Schweizer Mobiltelefon erhalten haben soll. Allein die vorgelegten Niederschriften der angeblichen Anrufe seien als Beweis, dass tatsächlich solche erfolgt seien, nicht geeignet. Solche Anrufe aus dem Heimatland liessen sich auch problemlos durch Bekannte organisieren, weswegen der Beweiswert äusserst gering sei. Zudem habe er bereit anlässlich des zweiten Asylgesuchs telefonische Drohungen geltend gemacht. Es sei deshalb davon auszugehen, dass er seine Mobiltelefonnummer bei Tatsächlichkeit solcher Anrufe besonders geschützt oder gar auf ein Mobiltelefon verzichtet hätte. Vor diesem Hintergrund widerspreche sein Vorbringen der allgemeinen Erfahrung und der Logik und erscheine konstruiert, weswegen nicht geglaubt werden könne, dass er derartige Drohungen erhalten habe. Zur Untermauerung seiner Vorbringen habe er in Kopie eine Vorladung und eine Suchmeldung des Nachrichtendienstes, sowie eine Verlustanzeige seiner Identitätskarte eingereicht. Es sei allgemein bekannt, dass in seinem Heimatstaat solche Dokumente ohne weiteres unrechtmässig erworben werden könnten, weshalb deren Beweiswert als äusserst gering einzustufen sei. Diese würden zudem bloss in Kopie vorliegen. Auch fraglich sei, wie er an eine Suchmeldung gelangen könne, da derartige Dokumente vertraulich seien. Er erkläre nicht, wie er in deren Besitz gelangt sei. Somit seien die eingereichten Unterlagen nicht geeignet, den Sachverhalt glaubhaft zu machen. Sie würden vielmehr zu weiteren Zweifeln Anlass geben. Bezüglich der exilpolitischen Tätigkeiten sei festzuhalten, dass sich das Interesse der kongolesischen Behörden für exilpolitische Aktivitäten ihrer Staatsangehörigen auf Personen konzentrieren würde, welche als ernsthafte und potentielle Regimegegner wahrgenommen würden. Lediglich aufgrund der Mitorganisation eines Marschs in (...) am (...) 2017 sei bei ihm von keinem hochprofilierten öffentlichen Exilengagement auszugehen, weswegen eine begründete Furcht vor Verfolgung bei einer Rückkehr nicht anzunehmen sei. Weiter bringe er verschiedene exilpolitische Tätigkeiten vor, die bereits im Rahmen des zweiten Asylgesuchs sowohl von der Vorinstanz als auch vom Bundesverwaltungsgericht gewürdigt worden seien. Es erübrige sich daher, nochmals darauf einzugehen.</w:t>
      </w:r>
    </w:p>
    <w:p>
      <w:r>
        <w:rPr>
          <w:b/>
        </w:rPr>
        <w:t>E. 5.2</w:t>
      </w:r>
    </w:p>
    <w:p>
      <w:r>
        <w:t>In der Rechtsmitteleingabe macht der Beschwerdeführer geltend, die Vorinstanz habe sowohl die Vorladung als auch die Suchmeldung des Nachrichtendienstes nicht berücksichtigt. Seit dem Entscheid des Bundesverwaltungsgerichts hätten sich mehrere Tatsachen ereignet, die von der Vorinstanz nicht berücksichtigt worden seien. Zu erwähnen seien die Drohungen von Unbekannten, die Verlustanzeige seiner Identitätskarte und das gegen ihn eingeleitete Verfahren.</w:t>
      </w:r>
    </w:p>
    <w:p>
      <w:r>
        <w:rPr>
          <w:b/>
        </w:rPr>
        <w:t>E. 5.3</w:t>
      </w:r>
    </w:p>
    <w:p>
      <w:r>
        <w:t>Vorab ist festzustellen, dass der Beschwerdeführer im Rahmen seiner Asylgesuche unterschiedliche Identitäten angeben hat. Im vorinstanzlichen Verfahren trat er unter dem Namen B._______ auf. Die Beschwerde reichte er hingegen unter dem Namen A._______ ein. Vor diesem Hintergrund ist bereits die persönliche Glaubwürdigkeit des Beschwerdeführers in Frage gestellt. Sodann ist die vorinstanzliche Beweiswürdigung nicht zu beanstanden. Die angefochtene Verfügung ist einlässlich begründet. Entgegen der in der Beschwerde vertretenen Ansicht hat die Vorinstanz die Vorladung und die Suchmeldung des Nachrichtendienstes sowie die Verlustanzeige der Identitätskarte des Beschwerdeführers berücksichtigt. Die Feststellung in der angefochtenen Verfügung, wonach die eingereichten Dokumente nicht geeignet seien, den Sachverhalt glaubhaft zu machen, ist nicht zu bemängeln. Sodann führte die Vorinstanz bezüglich der Drohungen von Unbekannten zutreffend aus, dass dieses Vorbringen der allgemeinen Erfahrung und der Logik widerspreche und konstruiert erscheine. Mit dem ausführlichen Wiederholen des Sachverhalts und dem Verweis auf sein Gesuch vom 6. Dezember 2017 legt der Beschwerdeführer ferner nicht dar, inwiefern ihn die Vorinstanz zu Unrecht nicht als Flüchtling anerkannt hat. Solches ist auch nicht ersichtlich. Um Wiederholungen zu vermeiden, kann auch die zutreffenden Ausführungen in der angefochtenen Verfügung verwiesen werden. Vor diesem Hintergrund besteht keine Veranlassung den Beschwerdeführer anzuhören. Der entsprechende Antrag ist abzuweisen.</w:t>
      </w:r>
    </w:p>
    <w:p>
      <w:r>
        <w:rPr>
          <w:b/>
        </w:rPr>
        <w:t>E. 6.1</w:t>
      </w:r>
    </w:p>
    <w:p>
      <w:r>
        <w:t>Der Beschwerdeführer macht weiter geltend, er sei in der Schweiz exilpolitisch tätig.</w:t>
      </w:r>
    </w:p>
    <w:p>
      <w:r>
        <w:rPr>
          <w:b/>
        </w:rPr>
        <w:t>E. 6.2</w:t>
      </w:r>
    </w:p>
    <w:p>
      <w:r>
        <w:t>Gemäss Art. 54 AsylG wird Flüchtlingen kein Asyl gewährt, wenn sie erst durch ihre Ausreise aus dem Heimat- oder Herkunftsstaat oder wegen ihres Verhaltens nach der Ausreise Flüchtlinge im Sinne von Art. 3 AsylG wurden (subjektive Nachfluchtgründe).</w:t>
      </w:r>
    </w:p>
    <w:p>
      <w:r>
        <w:rPr>
          <w:b/>
        </w:rPr>
        <w:t>E. 6.3</w:t>
      </w:r>
    </w:p>
    <w:p>
      <w:r>
        <w:t>Im Urteil E-3994/2017 vom 9. August 2017 wurde festgestellt, dass die vorgebrachten exilpolitischen Tätigkeiten (Teilnahme an Demonstrationen, Aktivitäten auf Facebook und Youtube, Verteilung von Datenträgern) nicht auf ein Profil schliessen liessen, das - wenn überhaupt - über niedrigprofilierte Erscheinungsformen exilpolitischer Aktivitäten hinausgehe und den Beschwerdeführer als ein potentiell gefährlicher Regimegegner erscheinen lassen würden. Die Feststellung der Vorinstanz in der angefochtenen Verfügung, dass einzig die Mitorganisation eines Marschs in Zürich am 18. November 2017 daran nichts zu ändern vermöge, ist nicht zu bemängeln.</w:t>
      </w:r>
    </w:p>
    <w:p>
      <w:r>
        <w:rPr>
          <w:b/>
        </w:rPr>
        <w:t>E. 6.4</w:t>
      </w:r>
    </w:p>
    <w:p>
      <w:r>
        <w:t>Zusammenfassend hat die Vorinstanz die Flüchtlingseigenschaft des Beschwerdeführers zu Recht verneint und das Asylgesuch abgelehnt.</w:t>
      </w:r>
    </w:p>
    <w:p>
      <w:r>
        <w:rPr>
          <w:b/>
        </w:rPr>
        <w:t>E. 7</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Die Wegweisung wurde zu Recht angeordnet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aus der Beschwerde ergeben sich konkrete Anhaltspunkte dafür, dass der Beschwerdeführer für den Fall einer Ausschaffung nach Kongo (Kinshasa) dort mit beachtlicher Wahrscheinlichkeit einer nach Art. 3 EMRK oder Art. 1 FoK verbotenen Strafe oder Behandlung ausgesetzt wäre. Der Vollzug der Wegweisung ist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Mit Urteil E-3994/2017 vom 9. August 2017 wurde auch unter dem Gesichtspunkt der Zumutbarkeit festgestellt, dass keine Vollzughindernisse vorliegen. Es liegen keinerlei Erkenntnisse vor, die an dieser Einschätzung zum heutigen Zeitpunkt etwas zu ändern vermögen, zumal weder im vor-instanzlichen Verfahren noch auf Beschwerdeebene konkrete Vorbringen in Bezug auf die Zumutbarkeit des Wegweisungsvollzugs gemacht wurden. Der Vollzug der Wegweisung ist somit als zumutbar zu bezeichnen.</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auch sonst nicht zu beanstanden ist (Art. 106 Abs. 1 AsylG). Für eine Rückweisung der Sache an die Vorinstanz besteht nach dem Gesagten kein Anlass. Die Beschwerde ist abzuweisen.</w:t>
      </w:r>
    </w:p>
    <w:p>
      <w:r>
        <w:rPr>
          <w:b/>
        </w:rPr>
        <w:t>E. 10.1</w:t>
      </w:r>
    </w:p>
    <w:p>
      <w:r>
        <w:t>Der Beschwerdeführer beantragt die Gewährung der unentgeltlichen Prozessführung. Aufgrund der vorstehenden Erwägungen ergibt sich, dass seine Begehren als aussichtslos zu gelten haben. Damit ist eine der kumulativ zu erfüllenden Voraussetzungen nicht gegeben, weshalb das Gesuch abzuweisen ist.</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Damit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