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E-5208/2019 vom 4. September 2019</w:t>
      </w:r>
    </w:p>
    <w:p>
      <w:r>
        <w:t>Bundesverwaltungsgericht, 2019-09-04, DE</w:t>
      </w:r>
    </w:p>
    <w:p>
      <w:r>
        <w:rPr>
          <w:b/>
        </w:rPr>
        <w:t xml:space="preserve">Quelle: </w:t>
      </w:r>
      <w:r>
        <w:t>https://mcp.opencaselaw.ch/entscheid/bvger_E-5208_2019_d20190904</w:t>
      </w:r>
    </w:p>
    <w:p>
      <w:r>
        <w:t>FR: TAF E-5208/2019 du 4 septembre 2019</w:t>
      </w:r>
    </w:p>
    <w:p>
      <w:r>
        <w:t>IT: TAF E-5208/2019 del 4 settembre 2019</w:t>
      </w:r>
    </w:p>
    <w:p>
      <w:pPr>
        <w:pStyle w:val="Heading2"/>
      </w:pPr>
      <w:r>
        <w:t>Regeste</w:t>
      </w:r>
    </w:p>
    <w:p>
      <w:r>
        <w:t>Asyl und Wegweisung | Asyl und Wegweisung; Verfügung des SEM vom 4. September 2019</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1.3</w:t>
      </w:r>
    </w:p>
    <w:p>
      <w:r>
        <w:t>Der Beschwerdeführer ist als Verfügungsadressat zur Beschwerdefüh- rung legitimiert (Art. 48 Abs. 1 VwVG). Auf die frist- und formgerecht einge- reichte Beschwerde ist einzutreten (aArt. 108 Abs. 1 AsylG und Art. 52 Abs. 1 VwVG).</w:t>
      </w:r>
    </w:p>
    <w:p>
      <w:r>
        <w:rPr>
          <w:b/>
        </w:rPr>
        <w:t>E. 1.4</w:t>
      </w:r>
    </w:p>
    <w:p>
      <w:r>
        <w:t>Das Verfahren richtet sich nach dem VwVG, dem VGG und dem BGG, soweit das AsylG nichts anderes bestimmt (Art. 37 VGG und Art. 6 AsylG).</w:t>
      </w:r>
    </w:p>
    <w:p>
      <w:r>
        <w:t>E-5208/2019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einer zweiten Richterin oder eines zweiten Richters entschieden (Art. 111 Bst. e AsylG). Wie nachstehend aufgezeigt, handelt es sich vorliegend um eine solche, weshalb das Urteil nur summa- risch zu begründen ist (Art. 111a Abs. 2 AsylG).</w:t>
      </w:r>
    </w:p>
    <w:p>
      <w:r>
        <w:rPr>
          <w:b/>
        </w:rPr>
        <w:t>E. 4</w:t>
      </w:r>
    </w:p>
    <w:p>
      <w:r>
        <w:t>Dem Antrag auf Bekanntgabe des Spruchkörpers wurde mit Zwischenver- fügung vom 16. Oktober 2019 entsprochen, soweit dessen Zusammenset- zung in jenem Zeitpunkt bestimmt war. Zwischenzeitlich geändert hat aus organisatorischen Gründen der Gerichtsschreiber, der jedoch nicht Teil des Spruchkörpers bildet. Im Übrigen geht die konkrete Zusammensetzung des Spruchkörpers aus dem Rubrum des vorliegenden Urteils hervor. Die Rich- terinnen und Richter des Spruchgremiums wurden im Auftrag des Abtei- lungspräsidiums durch das EDV-basierte Zuteilungssystem des Bundes- verwaltungsgerichts automatisiert bestimmt. Ein manueller Eingriff musste nicht vorgenommen werden.</w:t>
      </w:r>
    </w:p>
    <w:p>
      <w:r>
        <w:rPr>
          <w:b/>
        </w:rPr>
        <w:t>E. 5</w:t>
      </w:r>
    </w:p>
    <w:p>
      <w:r>
        <w:t>Der Beschwerdeführer macht formelle Rügen geltend, die vorab zu prüfen sind, da sie zu einer Kassation der angefochtenen Verfügung führen kön- 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E-5208/2019 Seite 7</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7.1</w:t>
      </w:r>
    </w:p>
    <w:p>
      <w:r>
        <w:t>Der Beschwerdeführer moniert zunächst eine mangelhafte Anhörung (Befragungstechnik, Dauer, Übersetzung). Den Befragungsprotokollen sind entgegen der Auffassung des Beschwer- deführers jedoch keine Hinweise auf eine mangelhafte Durchführung der Befragungen zu entnehmen. Anlässlich beider Befragungen hatte er wie- derholt Gelegenheit, sich frei zu äussern (vgl. SEM-Akten 14/26 insb. F78 f. und 6/13 Ziff. 7.01). Das protokollierte Aussageverhalten lässt sodann nicht darauf schliessen, dass der Beschwerdeführer nicht in der Lage gewesen wäre, den Befragungen zu folgen. Eine Voreingenommenheit der befra- genden Personen ist ebenfalls auszuschliessen. Da die befragende Per- son die Anhörung leitet, welche das Ziel hat, alle wesentlichen Fakten für die Beurteilung des Asylgesuchs zu sammeln, obliegt es ihr, die Anhörung entsprechend zu lenken und dabei bei unklaren oder unvollständigen Äusserungen entsprechende Nachfragen zu stellen oder bei abschweifen- den Weiterungen den Beschwerdeführer entsprechend zu belehren. Es entspricht der gängigen Praxis bei Anhörungen, dass asylsuchende Perso- nen unterbrochen werden, wenn sie auf weit zurückliegende Ereignisse zu ausführlich eingehen; die Anhörung dient dazu, die aktuellen Asylgründe zu erfragen. Es ergeben sich auch weder aus den Unterbrechungen in der BzP noch anlässlich der Anhörung Hinweise auf eine vorgefestigte Mei- nung oder gar auf willkürliches Vorgehen der befragenden Personen. Auch haben weder der Beschwerdeführer noch die anwesende Hilfswerksvertre- tung entsprechende Einwendungen erhoben oder sind dem Anhörungspro- tokoll Hinweise auf Unvollständigkeit zu entnehmen (vgl. z. B. SEM-Akten A6/13, A14/26 insb. S. 26. [Unterschriftenblatt der Hilfswerksvertretung]).</w:t>
      </w:r>
    </w:p>
    <w:p>
      <w:r>
        <w:t>E-5208/2019 Seite 8 Die Protokolle lassen ferner keinen Schluss auf eine mangelhafte Überset- zung zu. So hat der Beschwerdeführer anlässlich der BzP und der Anhö- rung sowohl mündlich als auch schriftlich bestätigt, die Dolmetscher gut verstanden zu haben. Weiter bestätigte er die Vollständigkeit der Protokolle sowie die genaue Rückübersetzung in eine ihm verständliche Sprache (vgl. SEM-Akten A14/26 F1 und S. 25, A6/13 S. 2 Bst. h und S. 9 f. Ziff. 9.02). Bei dem Handbuch des SEM (Handbuch Asyl und Rückkehr) handelt es sich im Übrigen um eine interne Weisung und damit um eine Verwaltungs- verordnung ohne Aussenwirkung, aus welcher der Beschwerdeführer keine Rechte und Pflichten abzuleiten vermag (vgl. Urteil des BVGer E-7803/2016 vom 9. Januar 2017 E. 3.3). Nach dem Gesagten erweisen sich die entsprechenden Rügen als unbegründet.</w:t>
      </w:r>
    </w:p>
    <w:p>
      <w:r>
        <w:rPr>
          <w:b/>
        </w:rPr>
        <w:t>E. 7.2</w:t>
      </w:r>
    </w:p>
    <w:p>
      <w:r>
        <w:t>Im Weiteren moniert der Beschwerdeführer, die Anhörung und die an- gefochtene Verfügung seien weder durch dieselbe Person durchgeführt beziehungsweise verfasst worden noch seien diese Personen derselben Muttersprache. Sodann seien die Namen hinter dem Kürzel der jeweiligen SEM-Mitarbeitenden nicht offengelegt worden. Überdies sei das rechtliche Gehör verletzt, da das SEM zwischen der BzP, der Anhörung und dem Erlass der angefochtenen Verfügung jeweils über eineinhalb Jahre zuge- wartet habe. Dass die angefochtene Verfügung nicht durch die gleiche Person verfasst wurde, welche die Anhörung durchgeführt hat, begründet keinen verfah- rensrechtlichen Mangel. Art. 30 Abs. 1 VwVG besagt zwar, dass die Be- hörde die Parteien anhört, bevor sie verfügt, nicht aber, dass die Anhörung durch dieselbe Person erfolgen muss, welche verfügt; dasselbe gilt für die Muttersprache der Mitarbeitenden des SEM, sofern es sich – wie vorlie- gend – um eine Amtssprache des Bundes handelt (vgl. Urteil des BVGer D-6560/2016 vom 29. März 2018 E. 5.2 und Art. 5 Bundesgesetz über die Landessprachen und die Verständigung zwischen den Sprachgemein- schaften [Sprachengesetz, SpG, SR 441.1]). Die entsprechende Rüge geht ins Leere. Dem Beschwerdeführer wurden mit Zwischenverfügung vom 7. Dezember 2021 die Namen der SEM-Mitarbeiter mit den Kürzeln (…) sowie (…) mit- geteilt und ihm Gelegenheit zur Stellungnahme eingeräumt. Der geltend gemachte Mangel ist damit geheilt. Im Übrigen stellt das Fehlen der Namen in der angefochtenen Verfügung keinen besonders schwerwiegenden Mangel dar, welcher die Nichtigkeit der Verfügung nach sich ziehen würde (vgl. BVGE 2019 VI/6 E. 8.4).</w:t>
      </w:r>
    </w:p>
    <w:p>
      <w:r>
        <w:t>E-5208/2019 Seite 9 Sodann stellt der Zeitraum von jeweils eineinhalb Jahren zwischen BzP, Anhörung und Entscheidredaktion ebenfalls keine Verletzung des rechtli- chen Gehörs dar. Eine Glaubhaftigkeitsprüfung der protokollierten Aussa- gen ist ungeachtet dieses zeitlichen Abstands durchaus möglich. Bei dem vom Beschwerdeführer zitierten Rechtsgutachten handelt es sich lediglich um eine Empfehlung von Prof. Walter Kälin an das SEM, aus welcher er keine Ansprüche ableiten kann (vgl. Urteil des BVGer D-1229/2020 vom 24. Februar 2022 E. 5.3). Dasselbe trifft für den Inhalt der Medienmitteilung des SEM vom 26. Mai 2014 zu, aus dem sich ebenso wenig eine justiziable Verfahrenspflicht ergibt.</w:t>
      </w:r>
    </w:p>
    <w:p>
      <w:r>
        <w:rPr>
          <w:b/>
        </w:rPr>
        <w:t>E. 7.3</w:t>
      </w:r>
    </w:p>
    <w:p>
      <w:r>
        <w:t>Schliesslich rügt der Beschwerdeführer die Verletzung der Sachver- haltsfeststellung sowie der Begründungspflicht. Insbesondere habe das SEM seine (des Beschwerdeführers) politischen Aktivitäten bei der Frage nach seiner Flüchtlingseigenschaft nicht diskutiert. Zudem seien seine fa- miliären Beziehungen bei der Prüfung des Risikoprofils – anders als im Referenzurteil E-1866/2015 vom 15. Juli 2016 gefordert – komplett ausge- klammert worden. Zunächst ist dem Beschwerdeführer darin beizupflichten, dass er im Rah- men des Asylverfahrens prominent ausführte, für verschiedene Organisa- tionen in seinem Dorf sowie auf Distriktebene gearbeitet zu haben und hier- bei mit entsprechenden Politikern in Kontakt gekommen zu sein (vgl. bspw. SEM-Akten 14/26 F78). In diesem Rahmen sei er namentlich an einem wichtigen Treffen zum Tag der Menschenrechte als Redner aufgestellt wor- den, was dokumentiert worden sei (vgl. a.a.O.). Es trifft zu, dass das SEM sich hierzu weder in der angefochtenen Verfügung noch in der Vernehm- lassung geäussert hat. In diesem Punkt ist der Sachverhalt nicht vollstän- dig festgestellt und es kann zum aktuellen Zeitpunkt nicht beurteilt werden, ob das SEM dieses (politische) Engagement des Beschwerdeführers als gegeben oder ebenso unglaubhaft einstuft. Sodann hat das Bundesverwaltungsgericht im Referenzurteil E-1866/2025 vom 15. Juli 2016 festgestellt, dass aus Europa respektive der Schweiz zurückkehrende tamilische Asylsuchende nicht generell einer ernstzuneh- menden Gefahr von Verhaftung und Folter ausgesetzt sind (vgl. a.a.O. E. 8.3). Das Gericht orientiert sich bei der Beurteilung des Risikos von Rückkehrern, Opfer ernsthafter Nachteile in Form von Verhaftung und Fol- ter zu werden, an verschiedenen Risikofaktoren. Dabei handelt es sich um das Vorhandensein einer tatsächlichen oder vermeintlichen, aktuellen oder vergangenen Verbindung zu den LTTE, um Teilnahme an exilpolitischen</w:t>
      </w:r>
    </w:p>
    <w:p>
      <w:r>
        <w:t>E-5208/2019 Seite 10 regimekritischen Handlungen und um Vorliegen früherer Verhaftungen durch die sri-lankischen Behörden, üblicherweise im Zusammenhang mit einer tatsächlichen oder vermuteten Verbindung zu den LTTE (sog. stark risikobegründende Faktoren, vgl. a.a.O. E. 8.4.1 – 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 gründete Furcht vor ernsthaften Nachteilen im Sinne von Art. 3 AsylG ha- ben, denen seitens der sri-lankischen Behörden zugeschrieben wird, dass sie bestrebt seien, den tamilischen Separatismus wiederaufleben zu las- sen (vgl. a.a.O. E. 8.5.1). Der Beschwerdeführer führte aus, er habe für seinen Onkel gearbeitet, der Beziehungen zu den LTTE gehabt habe und deshalb geflohen sei. Im Rah- men der Arbeit für seinen Onkel sei er vom CID kontrolliert und festgenom- men worden. Auf Beschwerdeebene reichte er eine Kopie eines englischen Dokuments zu den Akten, wonach dieser Onkel in England Asyl erhalten haben soll. Überdies führte er in der Befragung zur Person aus, sein Vater habe für die LTTE gearbeitet, was die Behörden gewusst hätten, weshalb dieser später im Camp von C._______ befragt und geschlagen worden sei (vgl. SEM-Akten 6/13 Ziff. 7.03). Es ist festzustellen, dass in der angefoch- tenen Verfügung weder die Verbindungen des Onkels zu den LTTE noch die des Vaters gewürdigt worden sind. Es trifft überdies zu, dass sich die Erwägungen des SEM darin erschöpfen zu betonen, dass der Beschwer- deführer keine Vorfluchtgründe habe glaubhaft machen können, bis 2016 in Sri Lanka habe leben können, vor seiner Ausreise kein Risikoprofil auf- gewiesen habe und auch bei einer Rückkehr nicht befürchten müsse, im Fokus der heimatlichen Behörden zu stehen (vgl. angefochtene Verfügung S. 6 f.). Aus der angefochtenen Verfügung geht ferner nicht hervor, wie das SEM das Profil des Onkels und die Arbeit des Beschwerdeführers für die- sen einstuft. Zwar nimmt das SEM in der Vernehmlassung Stellung zum Onkel des Beschwerdeführers. Die oberflächliche Erklärung, dass alles – und somit auch die Arbeit für diesen Onkel – unglaubhaft sei, ist jedoch vor dem Hintergrund der Beschwerdeausführungen und insbesondere des ge- nannten Referenzurteils als nicht ausreichend begründet zu betrachten.</w:t>
      </w:r>
    </w:p>
    <w:p>
      <w:r>
        <w:t>E-5208/2019 Seite 11 Überdies fehlen – neben der Aufzählung als Familienmitglied – weiterhin jegliche Ausführungen zum Vater des Beschwerdeführers und seinem po- litischen Profil. Schliesslich wurde im Rahmen der Vernehmlassung auch das Dossier von Herrn J._______ (N […]) nicht konsultiert. Eine vertiefte Risikoprüfung, wie vom Bundesverwaltungsgericht vorgese- hen, erfolgte somit weder im Hinblick auf den Vater noch (ausreichend) auf den Onkel. Überdies hat die Vorinstanz auch keine Würdigung der politi- schen Aktivitäten des Beschwerdeführers vorgenommen. Damit verkennt das SEM, dass gemäss dem Referenzurteil tatsächliche oder vermeintli- che, aktuelle oder vergangene familiäre Anknüpfungspunkte zu den LTTE nach wie vor als Hauptrisikofaktor gelten (a.a.O. E. 8.4.1). Folglich hat das SEM nicht nur die ihm obliegende Begründungspflicht verletzt, sondern es insbesondere auch unterlassen, den rechtserheblichen Sachverhalt voll- ständig abzuklären.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 Eine Verletzung des Anspruchs auf rechtliches Gehör führt grundsätzlich eben- falls zur Kassation und Rückweisung der Sache an die Vorinstanz. Die Hei- 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8.2</w:t>
      </w:r>
    </w:p>
    <w:p>
      <w:r>
        <w:t>Vorliegend kommt bereits deshalb eine Heilung auf Beschwerdeebene nicht in Betracht, da die Vorinstanz es versäumt hat, die formellen Fehler im Rahmen des Schriftenwechsels ausreichend zu korrigieren. Dem Be-</w:t>
      </w:r>
    </w:p>
    <w:p>
      <w:r>
        <w:t>E-5208/2019 Seite 12 schwerdeführer bleibt mit der Kassation ausserdem der Instanzenzug er- halten, was umso wichtiger ist, als im Asylverfahren das Bundesverwal- tungsgericht letztinstanzlich entscheidet (vgl. dazu BVGE 2009/53 E. 7.3, BVGE 2008/47 E. 3.3.4, BVGE 2008/14 E. 4.1).</w:t>
      </w:r>
    </w:p>
    <w:p>
      <w:r>
        <w:rPr>
          <w:b/>
        </w:rPr>
        <w:t>E. 9</w:t>
      </w:r>
    </w:p>
    <w:p>
      <w:r>
        <w:t>Nach dem Gesagten ist die Beschwerde insofern gutzuheissen als die an- gefochtene Verfügung aufzuheben und die Sache zur Behebung der fest- gestellten Mängel sowie zur Neubeurteilung an das SEM zurückzuweisen ist. Angesichts der Rückweisung der Sache erübrigt es sich, auf die weiteren Vorbringen, Anträge und eingereichten Beweismittel einzugehen, weil sie ebenfalls Gegenstand des wiederaufzunehmenden erstinstanzlichen Ver- fahrens sein werden und das SEM sich damit zu befassen haben wird.</w:t>
      </w:r>
    </w:p>
    <w:p>
      <w:r>
        <w:rPr>
          <w:b/>
        </w:rPr>
        <w:t>E. 10.1</w:t>
      </w:r>
    </w:p>
    <w:p>
      <w:r>
        <w:t>Bei diesem Ausgang des Verfahrens sind keine Kosten zu erheben (Art. 63 Abs. 1 und 2 VwVG). Der geleistete Kostenvorschuss in Höhe von Fr. 1’500.– ist dem Beschwerdeführer zurückzuerstatten.</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Kos- tennote vom 22. Dezember 2021 macht der Rechtsvertreter einen Aufwand von 34.28 Stunden zu einem Stundenansatz von Fr. 240.– sowie Auslagen in Höhe von Fr. 52.10 geltend. Der Stundenansatz erweist sich als reglementskonform (vgl. Art. 10 Abs. 2 VGKE); die Auslagen erscheinen angemessen. Entschädigungspflichtig ist indessen nur der notwendige Aufwand, weshalb es zu berücksichtigen gilt, dass die Beschwerdeeingaben sowohl redundante Passagen als auch weitschweifige Ausführungen zur allgemeinen Lage in Sri Lanka sowie zu Themen enthalten, zu denen der Beschwerdeführer gar nichts vorgetragen hat. Der zeitliche Aufwand ist daher entsprechend zu kürzen. In Berück- sichtigung des veranschlagten Stundenansatzes und aller massgeblichen Bemessungsfaktoren (Art. 8 ff. VGKE) ist die Parteientschädigung auf Fr. 3'947.– (inkl. Auslagen und Mehrwertsteuerzuschlag im Sinne von Art. 9 Abs. 1 Bst. c VGKE) festzusetzen.</w:t>
      </w:r>
    </w:p>
    <w:p>
      <w:r>
        <w:t>E-5208/2019 Seite 13</w:t>
      </w:r>
    </w:p>
    <w:p>
      <w:r>
        <w:t>(Dispositiv nächste Seite)</w:t>
      </w:r>
    </w:p>
    <w:p>
      <w:r>
        <w:t>E-5208/2019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