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E-5207/2008 vom 19. Mai 2011</w:t>
      </w:r>
    </w:p>
    <w:p>
      <w:r>
        <w:t>Bundesverwaltungsgericht, 2011-05-19, DE</w:t>
      </w:r>
    </w:p>
    <w:p>
      <w:r>
        <w:rPr>
          <w:b/>
        </w:rPr>
        <w:t xml:space="preserve">Quelle: </w:t>
      </w:r>
      <w:r>
        <w:t>https://mcp.opencaselaw.ch/entscheid/bvger_E-5207_2008</w:t>
      </w:r>
    </w:p>
    <w:p>
      <w:r>
        <w:t>FR: TAF E-5207/2008 du 19 mai 2011</w:t>
      </w:r>
    </w:p>
    <w:p>
      <w:r>
        <w:t>IT: TAF E-5207/2008 del 19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Flüchtlingseigenschaft des Beschwerdeführers verneint, sein Asylgesuch abgelehnt und ihn aus der Schweiz weggewiesen. Der Be­schwerdeführer beantragt in seiner Beschwerde die Aufhebung der Ver­fügung betreffend den Wegweisungsvollzug (Ziffern 4 und 5 des Dis­po­sitivs). Die Verneinung der Flüchtlings­ei­gen­schaft und die Ablehnung des Asyl­gesuchs blieben somit unangefochten und sind mit Ablauf der Beschwerdefrist in Rechtskraft erwachsen. Auch die Wegweisung als solche ist nicht mehr zu überprüfen.</w:t>
      </w:r>
    </w:p>
    <w:p>
      <w:r>
        <w:rPr>
          <w:b/>
        </w:rPr>
        <w:t>E. 3.2</w:t>
      </w:r>
    </w:p>
    <w:p>
      <w:r>
        <w:t>Im vorliegenden Beschwerde­verfahren ist somit ausschliesslich die Frage zu be­ant­worten, ob die Wegweisung zu vollziehen oder ob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AuG).</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S. 748). Wie den nach­fol­gen­den Erwägungen zu entnehmen ist, erweist sich der Vollzug der Weg­weisung vorlie­gend als un­zu­mutbar. Damit kann praxisgemäss auf eine Erörterung der beiden andern Voraus­setzungen für einen rechtmäs­si­gen Wegweisungsvollzug verzichtet werden (a.a.O. E. 5.4).</w:t>
      </w:r>
    </w:p>
    <w:p>
      <w:r>
        <w:rPr>
          <w:b/>
        </w:rPr>
        <w:t>E. 5.1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 5.2.5.2.1. In ihrer vorliegend zu berücksichtigenden Rechtsprechung hatte sich die vormalige ARK in Entscheidungen und Mitteilungen der Schweizerischen Asyl­rekurs­kommission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 5.2.2. 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 5.2.3. Eine Rückkehr in die Provinz Ghazni bezeichnete schon die vormalige ARK - un­abhängig von indivi­duel­len Umständen wie beispielsweise gesund­heit­lichen Beschwerden oder einem fehlenden Beziehungsnetz - als exis­tenz­bedrohend und damit als generell unzumutbar (hierzu EMARK 2003 Nr. 30 insbesondere E. 7.a).</w:t>
      </w:r>
    </w:p>
    <w:p>
      <w:r>
        <w:rPr>
          <w:b/>
        </w:rPr>
        <w:t>E. 5.3</w:t>
      </w:r>
    </w:p>
    <w:p>
      <w:r>
        <w:t>Es besteht heute weitherum Einigkeit darüber, dass sich die Sicherheitslage in Afghanistan in den letzten Jahren über alle Regionen hinweg verschlechtert hat (im Sinne von Beispielen zwei Lagebeurteilungen: Focus Online, Sicherheitslage in Afghanistan hat sich deutlich verschlechtert, 12.10.2010; NZZ Online, Rotes Kreuz schlägt Alarm wegen Lage in Afghanistan, 12.10.2010).</w:t>
      </w:r>
    </w:p>
    <w:p>
      <w:r>
        <w:rPr>
          <w:b/>
        </w:rPr>
        <w:t>E. 5.4</w:t>
      </w:r>
    </w:p>
    <w:p>
      <w:r>
        <w:t>5.4.1. Der Beschwerdeführer hat angegeben, er sei Hazara und stamme aus der Provinz Ghazni. Dazu ist anzumerken, dass der Beschwerdeführer zwar im vorinstanzlichen Verfahren keine Identitätspapiere zu den Akten gereicht und angegeben hat, weder je einen Pass noch eine Identitätskarte besessen zu haben (vgl. Befragungsprotokoll Ziff. 13.1 und 13.2). Die mit Eingabe des Beschwerdeführers vom 14. Januar 2008 zu den Akten gereichte Tsakara seiner Mutter ist als Beweismittel untauglich; weder steht deren Echtheit fest noch ist - diesbezüglich stimmt das Gericht mit der entsprechenden Ausführung in der Vernehmlassung des BFM überein - gesichert, dass es sich bei der Frau, auf welche das Dokument ausgestellt ist, tatsächlich um seine Mutter handelt. Auf Beschwerdeebene reichte der Beschwerdeführer im Rahmen des Schriftenwechsels (Replik vom 6. Mai 2011) aber die Kopie seines Passes, den er sich in der afghanischen Botschaft habe ausstellen lassen, zu den Akten. Diesem Dokument, an dessen Echtheit an sich nicht zu zweifeln ist, führt unter "PLACE OF BIRTH" den Eintrag 'C._______'.</w:t>
      </w:r>
    </w:p>
    <w:p>
      <w:r>
        <w:rPr>
          <w:b/>
        </w:rPr>
        <w:t>E. 5.4.2</w:t>
      </w:r>
    </w:p>
    <w:p>
      <w:r>
        <w:t>Allerdings fällt in diesem Zusammenhang auf, dass der Beschwerdeführer anlässlich der Befragung auf die Frage nach seiner Volkszugehörigkeit mit "sonstige" antwortete (vgl. Befragungsprotokoll Ziff. 4). Erst bei der Anhörung gab er an, Hazara zu sein (vgl. Anhörungsprotokoll S. 3). Erstaunlich ist auch, dass er bei der Befragung nicht zu wissen angab, in welcher Provinz sein Herkunftsort (die Stadt B._______) liegt (a.a.O. S. 1), und genauere Angaben ebenfalls erst an der Anhörung machte (a.a.O. S. 2).</w:t>
      </w:r>
    </w:p>
    <w:p>
      <w:r>
        <w:rPr>
          <w:b/>
        </w:rPr>
        <w:t>E. 5.4.3</w:t>
      </w:r>
    </w:p>
    <w:p>
      <w:r>
        <w:t>Aber auch das Lingua-Gutachten vom 10. April 2006 vermag bezüglich der Identität und Herkunft des Beschwerdeführers nicht in allen Teilen zu befriedigen. Zwar wird als Ergebnis festgehalten: "sans équivoque: Iran, sans équivoque pas: Afghanistan". Aufgrund der vom Beschwerdeführer gemachten Angaben beziehungsweise dessen Unkenntnisse von Einzelheiten zu Afghanistan sowie dessen Art zu sprechen sei zu schliessen, dass er aus dem Iran komme. Indessen sind in diesem Zusammenhang zwei amtsinterne Mails von Interesse: Das erste vom 25. April 2006 stellt fest, der Proband stamme ursprünglich auf jeden Fall aus afghanischem Milieu. Das zweite Mail vom 26. April 2008 memoriert, beim Beschwerdeführer sei eine Lingua-Analyse veranlasst und gemäss dem 1. Gutachten sei festgestellt worden, dass dieser aus dem Iran stamme. Der Experte sei um eine nochmalige Prüfung des Gutachtens gebeten worden; er habe mitgeteilt, dass der Beschwerdeführer ohne Zweifel aus Afghanistan stamme. Und schliesslich ist eine Aktennotiz des Experten vom 27. April 2008 zu erwähnen, wonach es sich beim Beschwerdeführer um eine Person handle, die afghanischem Milieu entstamme und wahrscheinlich wohl eher länger ausserhalb von Afghanistan als in Afghanistan gelebt habe.</w:t>
      </w:r>
    </w:p>
    <w:p>
      <w:r>
        <w:rPr>
          <w:b/>
        </w:rPr>
        <w:t>E. 5.5</w:t>
      </w:r>
    </w:p>
    <w:p>
      <w:r>
        <w:t>Das Bundesverwaltungsgericht kommt in Würdigung der Aktenlage zum Schluss, dass es sich beim Beschwerdeführer um eine Person handelt, deren Wurzeln in Afghanistan liegen. Es bleiben zwar Unglaubhaftigkeitselemente, aber diese beziehen sich weniger auf die Frage, woher der Beschwerdeführer tatsächlich stammt, als darauf, wie lange und wann er in Afghanistan gelebt hat.</w:t>
      </w:r>
    </w:p>
    <w:p>
      <w:r>
        <w:rPr>
          <w:b/>
        </w:rPr>
        <w:t>E. 5.6</w:t>
      </w:r>
    </w:p>
    <w:p>
      <w:r>
        <w:t>Davon ausgehend befindet sich der anzunehmende Herkunftsort des Beschwerdeführers in ei­ner Provinz (Ghazni), bezüglich welcher der Wegweisungsvollzug nach Pra­xis des Bundesverwaltungsgerichts als generell unzumutbar zu qualifi­zieren ist. Den Akten sind keine Hinweise auf eine zumutbare innerstaatliche Aufenthaltsalternative zu entnehmen und bezüglich des vom BFM als Herkunftsstaat angenommenen Iran ist anzumerken, dass es keinerlei Hinweise gibt, der Beschwerdeführer würde dort über einen legalen Aufenthaltstitel verfügen, wogegen er auf Beschwerdeebene die Kopie seines afghanischen Passes eingereicht hat (Sachverhalt Bst. H.).</w:t>
      </w:r>
    </w:p>
    <w:p>
      <w:r>
        <w:rPr>
          <w:b/>
        </w:rPr>
        <w:t>E. 6</w:t>
      </w:r>
    </w:p>
    <w:p>
      <w:r>
        <w:t>Der Vollzug der Wegweisung des Beschwerdeführers ist somit als un­zumutbar zu bezeichnen. Die Voraussetzungen für die Gewährung der vor­läufigen Aufnahme sind erfüllt, nachdem den Akten keine Hinweise auf Ausschlussgründe gemäss Art. 83 Abs. 7 AuG zu entnehmen sind.Die Beschwerde ist demnach gutzuheissen. Die Ziffern 4 und 5 des Dis­po­sitivs der angefochtenen Verfügung des BFM vom 11. Juli 2009 sind aufzuheben und die Vorinstanz ist anzuweisen, den Be­schwer­de­füh­rer vorläufig aufzunehmen. 7.Bei diesem Ausgang des Verfahrens sind keine Kosten zu erheben (Art. 63 Abs. 1 VwVG). Das Gesuch um Gewährung der unentgeltlichen Prozessführung, welchen Entscheid der Instruktionsrichter auf einen späteren Zeitpunkt verschoben hatte, wird damit gegenstandslos. Die Beschwerdeinstanz kann der ganz oder teilweise obsiegenden Partei von Amtes wegen oder auf Begehren hin eine Entschädigung für ihr erwachsene notwendige und verhältnismässig hohe Kosten zusprechen (Art. 64 Abs. 1 VwVG). Der Rechtsvertreter hat keine Kostennote zu den Akten gereicht, doch ist der Vertretungsaufwand zuverlässig abzuschätzen. Die Parteientschädigung ist in Anwendung von Art. 14 Abs. 2 des Reglements vom 21. Februar 2008 über die Kosten und Entschädigungen vor dem Bundesverwaltungsgericht (VGKE, SR 173.320.2) von Amtes wegen und aufgrund der Akten zu bestimmen. Unter Würdigung der massgebenden Bemessungsgrundlage wird die Parteientschädigung auf insgesamt Fr. 700.- (inklusive aller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