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E-5204/2025 vom 3. Juli 2025</w:t>
      </w:r>
    </w:p>
    <w:p>
      <w:r>
        <w:t>Bundesverwaltungsgericht, 2025-07-03, DE</w:t>
      </w:r>
    </w:p>
    <w:p>
      <w:r>
        <w:rPr>
          <w:b/>
        </w:rPr>
        <w:t xml:space="preserve">Quelle: </w:t>
      </w:r>
      <w:r>
        <w:t>https://mcp.opencaselaw.ch/entscheid/bvger_E-5204_2025_d20250703</w:t>
      </w:r>
    </w:p>
    <w:p>
      <w:r>
        <w:t>FR: TAF E-5204/2025 du 3 juillet 2025</w:t>
      </w:r>
    </w:p>
    <w:p>
      <w:r>
        <w:t>IT: TAF E-5204/2025 del 3 luglio 2025</w:t>
      </w:r>
    </w:p>
    <w:p>
      <w:pPr>
        <w:pStyle w:val="Heading2"/>
      </w:pPr>
      <w:r>
        <w:t>Regeste</w:t>
      </w:r>
    </w:p>
    <w:p>
      <w:r>
        <w:t>Nichteintreten auf Asylgesuch und Wegweisung (Mehrfachgesuch) | Nichteintreten auf Asylgesuch und Wegweisung (Mehrfachgesuch); Verfügung des SEM vom 3.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(Art. 108 Abs. 3 AsylG i.V.m. Art. 37 VGG sowie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111c Abs. 1 AsylG hat die Eingabe von Asylgesuchen, die in- nert fünf Jahren nach Eintritt der Rechtskraft des Asyl- und Wegweisungs- entscheides eingereicht werden, schriftlich und begründet zu erfolgen. Der Beschwerdeführer hat am 2. Dezember 2015 in der Schweiz um Asyl nach- gesucht. Die Verfügung des SEM vom 12. August 2019 erwuchs in Rechts- kraft, nachdem das Bundesverwaltungsgericht mit Urteil D-4661/2019 vom 21. Oktober 2020 die Beschwerde abwies. Die Eingabe vom 15. April 2025 wurde vom SEM deshalb korrekterweise als Mehrfachgesuch entgegenge- nommen.</w:t>
      </w:r>
    </w:p>
    <w:p>
      <w:r>
        <w:rPr>
          <w:b/>
        </w:rPr>
        <w:t>E. 4</w:t>
      </w:r>
    </w:p>
    <w:p>
      <w:r>
        <w:t>Prüfungsgegenstand ist vorliegend die Frage, ob die Vorinstanz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 scheidung an die Vorinstanz zurück (vgl. BVGE 2007/8 E. 2.1 m.w.H.).</w:t>
      </w:r>
    </w:p>
    <w:p>
      <w:r>
        <w:t>E-5204/2025 Seite 8</w:t>
      </w:r>
    </w:p>
    <w:p>
      <w:r>
        <w:rPr>
          <w:b/>
        </w:rPr>
        <w:t>E. 5</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7.1</w:t>
      </w:r>
    </w:p>
    <w:p>
      <w:r>
        <w:t>Das SEM hält in der angefochtenen Verfügung fest, der Beschwerde- führer mache wiederum geltend, dass er exilpolitisch tätig sei, dieses Mal als Mitglied des STCC. Er sei aber als einfaches Mitglied dieser Organisa- tion keineswegs exponiert und müsse deshalb nicht mit einer Verfolgung wegen seines Engagements rechnen. Ferner lasse sich aus den einge- reichten Artikeln des Tamil Guardian keine den Beschwerdeführer betref- fende Verfolgung ableiten. Die von ihm eingereichte Videosequenz eines Besuches der Behörden bei seinen Eltern zeige schliesslich lediglich, dass sich die Behörden wegen seiner langen Abwesenheit nach ihm erkundig- ten. Es sei möglich, dass er bei einer Rückkehr am Flughafen befragt und später auch zu Hause aufgesucht werde. Diese Kontrollen seien aber flüchtlingsrechtlich nicht relevant und seien nicht als Verfolgung im Sinne der Flüchtlingskonvention oder des Asylgesetzes zu werten. Nach dem Ausgeführten sei es denn auch nicht erforderlich, weitere Abklärungen zu tätigen oder den Beschwerdeführer zu einer Anhörung zu den Asylgründen vorzuladen. Gestützt auf Art. 111c AsylG i.V.m. Art. 13 Abs. 2 VwVG trete das SEM auf das Mehrfachgesuch nicht ein.</w:t>
      </w:r>
    </w:p>
    <w:p>
      <w:r>
        <w:rPr>
          <w:b/>
        </w:rPr>
        <w:t>E. 7.2</w:t>
      </w:r>
    </w:p>
    <w:p>
      <w:r>
        <w:t>In der Beschwerde wird im Wesentlichen vorgebracht, die Vorinstanz verkenne, dass namentlich mit den Videoaufnahmen sehr wohl eine neue Ausgangslage entstehe, zumal diese direkt beweisen würden, dass der</w:t>
      </w:r>
    </w:p>
    <w:p>
      <w:r>
        <w:t>E-5204/2025 Seite 9 Beschwerdeführer in Sri Lanka gesucht werde und ihm dort – wie in den Videos zu hören sei – konkret die Verhaftung durch die Behörden drohe, wenn er zurückkehre. Anders als die Vorinstanz behaupte, sei das Gesuch vom 15. April 2025 damit weder unbegründet noch wiederholt gleich be- gründet gestellt worden. Dass die anderen, bereits bekannten Asylgründe und risikoerhöhenden Faktoren nochmals aufgeführt worden seien, ändere daran selbstredend nichts und sei insgesamt sachlogisch, gehe es doch immer um eine Gesamtbeurteilung inklusive der früheren und aktuellen, neuen Umstände. Insofern hätte das SEM das Mehrfachgesuch zumindest inhaltlich prüfen und der Sache näher nachgehen müssen. Dies umso mehr, als Beweise hierzu angeboten, beantragt und offeriert worden seien.</w:t>
      </w:r>
    </w:p>
    <w:p>
      <w:r>
        <w:rPr>
          <w:b/>
        </w:rPr>
        <w:t>E. 8.1</w:t>
      </w:r>
    </w:p>
    <w:p>
      <w:r>
        <w:t>Das SEM hält in der angefochtenen Verfügung einleitend fest, unter welchen Umständen es ihm offenstehe, ein Mehrfachgesuch formlos ab- zuschreiben oder auf ein solches nicht einzutreten. Im Anschluss zeigt es indessen insbesondere hinsichtlich der eingereichten Aufnahmen der Be- fragung der Eltern des Beschwerdeführers durch zwei uniformierte Perso- nen vom (…) 2025 nicht auf, aus welchen Gründen es das vorliegende Gesuch als nicht ausreichend begründet erachtet. Vielmehr legt es im Rah- men einer kurz gehaltenen materiellen Prüfung dar, weshalb die Anforde- rungen an die Annahme einer begründeten Verfolgungsfurcht nicht gege- ben seien.</w:t>
      </w:r>
    </w:p>
    <w:p>
      <w:r>
        <w:rPr>
          <w:b/>
        </w:rPr>
        <w:t>E. 8.2</w:t>
      </w:r>
    </w:p>
    <w:p>
      <w:r>
        <w:t>Unter Hinweis auf die zusammengefasst wiedergegebenen Ausführun- gen in der Eingabe vom 15. April 2025 ist das Mehrfachgesuch als gehörig begründet zu erachten. Davon scheint entgegen den Ausführungen in der angefochtenen Verfügung auch das SEM ausgegangen zu sein, nachdem es sich in seinem Entscheid vom 3. Juli 2025 materiell mit den diesbezüg- lichen Vorbringen des Beschwerdeführers auseinandersetzte und sich da- mit offenbar in der Lage sah, über das Gesuch zu entscheiden, ohne den Beschwerdeführer anzuhören. Damit bleibt kein Raum für einen Nichtein- tretensentscheid gemäss Art. 111c Abs. 1 AsylG in Verbindung mit Art. 13 Abs. 2 VwVG.</w:t>
      </w:r>
    </w:p>
    <w:p>
      <w:r>
        <w:rPr>
          <w:b/>
        </w:rPr>
        <w:t>E. 9</w:t>
      </w:r>
    </w:p>
    <w:p>
      <w:r>
        <w:t>Nach dem Gesagten ist das SEM zu Unrecht auf das Mehrfachgesuch vom 15. April 2025 nicht eingetreten und hat damit Bundesrecht verletzt (Art. 106 Abs. 1 AsylG). Die Beschwerde ist daher gutzuheissen. Die an- gefochtene Verfügung vom 3. Juli 2025 ist aufzuheben und das SEM ist anzuweisen, auf das Mehrfachgesuch einzutreten und dieses – wie es dies</w:t>
      </w:r>
    </w:p>
    <w:p>
      <w:r>
        <w:t>E-5204/2025 Seite 10 in seinen Erwägungen im Ergebnis denn auch tut – auch formal materiell zu behandeln.</w:t>
      </w:r>
    </w:p>
    <w:p>
      <w:r>
        <w:rPr>
          <w:b/>
        </w:rPr>
        <w:t>E. 10</w:t>
      </w:r>
    </w:p>
    <w:p>
      <w:r>
        <w:t>Vor diesem Hintergrund erübrigt es sich, auf die weiteren Ausführungen in der Beschwerdeschrift einzugehen, weil sie Gegenstand des wiederaufzu- nehmenden materiellen Verfahrens sein werden und das SEM sich damit zu befassen haben wird.</w:t>
      </w:r>
    </w:p>
    <w:p>
      <w:r>
        <w:rPr>
          <w:b/>
        </w:rPr>
        <w:t>E. 11</w:t>
      </w:r>
    </w:p>
    <w:p>
      <w:r>
        <w:t>Mit diesem Urteil sind die Anträge auf Feststellung der aufschiebenden Wir- kung der Beschwerde und auf Verzicht auf die Erhebung eines Kostenvor- schusses gegenstandslos geworden.</w:t>
      </w:r>
    </w:p>
    <w:p>
      <w:r>
        <w:rPr>
          <w:b/>
        </w:rPr>
        <w:t>E. 12.1</w:t>
      </w:r>
    </w:p>
    <w:p>
      <w:r>
        <w:t>Bei diesem Ausgang des Verfahrens sind keine Kosten zu erheben (Art. 63 Abs. 1 und 2 VwVG), womit die Gesuche um Gewährung der un- entgeltlichen Prozessführung und amtliche Rechtsverbeiständung gegen- standslos geworden sind.</w:t>
      </w:r>
    </w:p>
    <w:p>
      <w:r>
        <w:rPr>
          <w:b/>
        </w:rPr>
        <w:t>E. 12.2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VGKE). Ge- stützt auf die in Betracht zu ziehenden Bemessungsfaktoren (Art. 9–13 VGKE) ist dem Beschwerdeführer zulasten der Vorinstanz eine Parteient- schädigung von Fr. 750.– (inkl. Auslagen) zuzusprechen. (Dispositiv nächste Seite)</w:t>
      </w:r>
    </w:p>
    <w:p>
      <w:r>
        <w:t>E-5204/2025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