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E-5203/2007 vom 25. Mai 2010</w:t>
      </w:r>
    </w:p>
    <w:p>
      <w:r>
        <w:t>Bundesverwaltungsgericht, 2010-05-25, DE</w:t>
      </w:r>
    </w:p>
    <w:p>
      <w:r>
        <w:rPr>
          <w:b/>
        </w:rPr>
        <w:t xml:space="preserve">Quelle: </w:t>
      </w:r>
      <w:r>
        <w:t>https://mcp.opencaselaw.ch/entscheid/bvger_E-5203_2007</w:t>
      </w:r>
    </w:p>
    <w:p>
      <w:r>
        <w:t>FR: TAF E-5203/2007 du 25 mai 2010</w:t>
      </w:r>
    </w:p>
    <w:p>
      <w:r>
        <w:t>IT: TAF E-5203/2007 del 25 maggio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und wendet dabei das neue Verfahrensrecht an (vgl. Art. 53 Abs. 2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50 und 52 VwVG). Auf die Beschwerde ist - unter Vorbehalt der nachstehenden Ausführungen - einzutreten.</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2.2</w:t>
      </w:r>
    </w:p>
    <w:p>
      <w:r>
        <w:t>Soweit vorliegend die Gewährung von Asyl (Rechtsbegehren 3) beantragt wird, ist nach dem Gesagten auf die Beschwerde nicht einzutreten.</w:t>
      </w:r>
    </w:p>
    <w:p>
      <w:r>
        <w:rPr>
          <w:b/>
        </w:rPr>
        <w:t>E. 3.1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3.2</w:t>
      </w:r>
    </w:p>
    <w:p>
      <w:r>
        <w:t>Bei der Prüfung, ob Hinweise auf eine Verfolgung vorliegen, welche geeignet sind, die Flüchtlingseigenschaft zu begründen, ist vom klassischen engen Verfolgungsbegriff im Sinne von Art. 3 AsylG auszugehen. Mit Grundsatzurteil vom 8. Juni 2006 i.S. A.I.I. (vgl. EMARK 2006 Nr. 18) hat der enge Verfolgungsbegriff in der Folge insofern eine Ausweitung erfahren, als bei der Prüfung der flüchtlingsrechtlichen Relevanz von Vorbringen auch die Verfolgung durch private Dritte bei mangelnder Schutzfähigkeit der staatlichen Behörden und bei Nichtexistieren staatlicher Strukturen mitzuberücksichtigen ist. Bei dieser Prüfung kommt ein gegenüber der Glaubhaftmachung reduzierter Beweismassstab zur Anwendung: Auf ein Asylgesuch muss eingetreten werden, wenn sich Hinweise auf eine relevante Verfolgung ergeben, die nicht von vornherein haltlos sind (vgl. beispielsweise Urteil des Bundesverwaltungsgerichts D-2013/2009 vom 6. April 2009; EMARK 2005 Nr. 2 E. 4.3 S. 17).</w:t>
      </w:r>
    </w:p>
    <w:p>
      <w:r>
        <w:rPr>
          <w:b/>
        </w:rPr>
        <w:t>E. 4.1</w:t>
      </w:r>
    </w:p>
    <w:p>
      <w:r>
        <w:t>Das BFM hat vorliegend seinen Nichteintretensentscheid vom 30. Juli 2007 auf der Grundlage von Art. 32 Abs. 2 Bst. e AsylG gefällt. Es gilt daher im Folgenden zu prüfen, ob die Voraussetzungen für ein Nichteintreten nach dieser Bestimmung erfüllt sind.</w:t>
      </w:r>
    </w:p>
    <w:p>
      <w:r>
        <w:rPr>
          <w:b/>
        </w:rPr>
        <w:t>E. 4.2</w:t>
      </w:r>
    </w:p>
    <w:p>
      <w:r>
        <w:t>Der Beschwerdeführer durchlief in der Schweiz bereits erfolglos ein Asylverfahren, das rechtskräftig abgeschlossen wurde. Das vorliegend zur Beurteilung stehende Asylgesuch des Beschwerdeführers ist demnach als neues Asylgesuch im Sinne von Art. 32 Abs. 2 Bst. e AsylG zu betrachten.</w:t>
      </w:r>
    </w:p>
    <w:p>
      <w:r>
        <w:rPr>
          <w:b/>
        </w:rPr>
        <w:t>E. 4.3</w:t>
      </w:r>
    </w:p>
    <w:p>
      <w:r>
        <w:t>Gemäss Art. 36 Abs. 1 Bst. b AsylG findet in den Fällen nach Art. 32 Abs. 2 Bst. e AsylG eine Anhörung im Sinne der Art. 29 und 30 AsylG statt, wenn die asylsuchende Person aus ihrem Heimat- oder Herkunftsstaat in die Schweiz zurückgekehrt ist. In den übrigen Fällen wird ihr das rechtliche Gehör gewährt (vgl. Art. 36 Abs. 2 AsylG). Entfällt in diesen Fällen indessen die Möglichkeit, einen Nichteintretensentscheid zu treffen, ist das Bundesamt verpflichtet, im Rahmen des neuen ordentlichen Asylverfahrens eine Anhörung gemäss Art. 29 f. AsylG durchzuführen (vgl. EMARK 2006 Nr. 20 E. 3.1 S. 214 f. sowie das zur Publikation vorgesehene Urteil des Bundesverwaltungsgerichts BVGE D-5407/2006 vom 30. November 2009 E. 6). In casu ist festzustellen, dass sich der Beschwerdeführer den Akten zufolge zwischen dem Abschluss des früheren Asylverfahrens und der Einreichung des vorliegenden Asylgesuchs nicht in seinem Heimatstaat aufgehalten hat und danach in die Schweiz zurückgekehrt ist. Somit hat für das BFM keine Veranlassung bestanden, im Anschluss an die Einreichung des zweiten Asylgesuchs eine Anhörung durchzuführen, sofern die Feststellung, die Voraussetzungen für das Fällen eines Nichteintretensentscheids in Anwendung von Art. 32 Abs. 2 Bst. e AsylG seien gegeben gewesen, zu Recht erfolgte.</w:t>
      </w:r>
    </w:p>
    <w:p>
      <w:r>
        <w:rPr>
          <w:b/>
        </w:rPr>
        <w:t>E. 4.4</w:t>
      </w:r>
    </w:p>
    <w:p>
      <w:r>
        <w:t>Gemäss der durch die ehemalige ARK begründeten Rechtsprechung (EMARK 2006 Nr. 20) fällt die Möglichkeit, in Anwendung von Art. 32 Abs. 2 Bst. e AsylG einen Nichteintretensentscheid zu treffen, von vornherein ausser Betracht, wenn ein (erneutes) Asylgesuch mit subjektiven Nachfluchtgründen begründet wird und diese Vorbringen nicht bloss in den Raum gestellt werden, sondern mit einschlägigen Beweismitteln eine konkrete Vorstellung davon vermittelt wird, worin die exilpolitischen Aktivitäten bestehen, also Hinweise auf eine Verfolgung vorliegen. Diese Praxis wurde vom Bundesverwaltungsgericht im Urteil D-5407/2006 vom 30. November 2009 bestätigt und differenziert. Darin wurde mit Verweis auf EMARK 2006 Nr. 20 (E. 3.1 S. 214) festgehalten, dass allein der Umstand, dass in einem weiteren, insbesondere schriftlich eingereichten Asylgesuch das exilpolitische Engagement der asylsuchenden Person umfassend dargelegt und allenfalls mit Beweismitteln dokumentiert werde, für sich noch nicht bedeute, dass auf das Asylgesuch im Sinne eines Automatismus einzutreten sei. Vielmehr sei im Hinblick auf die Frage, ob das ordentliche Verfahren durchzuführen oder ein Nichteintretensentscheid gemäss Art. 32 Abs. 2 Bst. e AsylG zu fällen sei, unter Berücksichtigung des länderspezifischen und personenbezogenen Kontextes im konkreten Fall zu prüfen, ob sich aufgrund der geltend gemachten exilpolitischen Tätigkeiten Hinweise ergäben, die zur Begründung der Flüchtlingseigenschaft geeignet seien. Ergäben sich solche Hinweise, müsse das BFM auf das zweite Asylgesuch eintreten und im Rahmen des ordentlichen Asylverfahrens eine förmliche Anhörung zu den Asylgründen nach Art. 29 und 30 AsylG durchführen (a.a.O E. 6). Zwar hat die Vorinstanz das exilpolitische Engagement des Beschwerdeführers in der Schweiz bereits teilweise im Rahmen des ersten Asylverfahrens beurteilt. Der Beschwerdeführer weist in seinem zweiten Asylgesuch vom 20. Juni 2006 aber darauf hin, dass er mit den eingereichten - und im Zeitpunkt des ersten Asylentscheides noch nicht vorliegenden - Beweismitteln neue Tatsachen zu belegen vermöge, die sich erst nach Ablehnung des ersten Asylgesuchs zugetragen hätten und eine begründete Furcht schaffen würden, dass der Beschwerdeführer im Falle einer Rückkehr in asylrelevanter Weise verfolgt werde.</w:t>
      </w:r>
    </w:p>
    <w:p>
      <w:r>
        <w:rPr>
          <w:b/>
        </w:rPr>
        <w:t>E. 4.5</w:t>
      </w:r>
    </w:p>
    <w:p>
      <w:r>
        <w:t>Zusammenfassend ist festzustellen, dass sich vorliegend aufgrund der geltend gemachten subjektiven Nachfluchtgründe die Durchführung einer asylrechtlichen Anhörung gemäss Art. 29 und Art. 30 AsylG aufgedrängt hätte. Der ungerechtfertigte Verzicht des Bundesamtes auf eine vorgängige Anhörung kommt einer Verletzung des Anspruchs auf rechtliches Gehör gleich (vgl. Art. 29 Abs. 2 BV und Art. 30 Abs. 1 VwVG i.V.m. Art. 6 AsylG). Eine Verletzung des Anspruchs auf rechtliches Gehör führt grundsätzlich zur Aufhebung des angefochtenen Hoheitsakts ohne Rücksicht darauf, ob Letzterer bei korrekter Gewährung des rechtlichen Gehörs anders ausgefallen wäre, zumal eine solche Betrachtungsweise dem formellen Charakter des Gehörsanspruches widerspräche (vgl. EMARK 1999 Nr. 20 S. 131; 1998 Nr. 34 E. 10d S. 292 f.; Ulrich Häfelin/Georg Müller/Felix Uhlmann, Allgemeines Verwaltungsrecht, 5. Aufl., Zürich/Basel/Genf 2006, Rz. 1709).</w:t>
      </w:r>
    </w:p>
    <w:p>
      <w:r>
        <w:rPr>
          <w:b/>
        </w:rPr>
        <w:t>E. 5</w:t>
      </w:r>
    </w:p>
    <w:p>
      <w:r>
        <w:t>Angesichts dieser Umstände ergibt sich, dass das BFM Bundesrecht verletzt hat, indem es zu Unrecht von einer Anhörung des Beschwerdeführers abgesehen hat und auf das Asylgesuch nicht eingetreten ist. Demzufolge ist die Beschwerde im Sinne der Erwägungen gutzuheissen, soweit darauf einzutreten ist, die angefochtene Verfügung vom 30. Juli 2007 aufzuheben, und die Sache ist zur Wiederaufnahme des zweiten Asylverfahrens und zur materiellen Beurteilung an die Vorinstanz zurückzuweisen. Bei dieser Sachlage erübrigen sich Ausführungen zu den weiteren Vorbringen in der Beschwerdeschrift.</w:t>
      </w:r>
    </w:p>
    <w:p>
      <w:r>
        <w:rPr>
          <w:b/>
        </w:rPr>
        <w:t>E. 6.1</w:t>
      </w:r>
    </w:p>
    <w:p>
      <w:r>
        <w:t>Bei diesem Ausgang des Beschwerdeverfahrens sind keine Kosten aufzuerlegen (Art. 63 Abs. 1 VwVG). Das Gesuch des Beschwerdeführers um Gewährung der unentgeltlichen Prozessführung im Sinne von Art. 65 Abs. 1 VwVG ist damit als gegenstandslos zu betrachten.</w:t>
      </w:r>
    </w:p>
    <w:p>
      <w:r>
        <w:rPr>
          <w:b/>
        </w:rPr>
        <w:t>E. 6.2</w:t>
      </w:r>
    </w:p>
    <w:p>
      <w:r>
        <w:t>Dem vertretenen Beschwerdeführer ist angesichts seines Obsiegens zulasten der Vorinstanz eine Parteientschädigung für die ihr notwendigerweise erwachsenen Kosten zuzusprechen (Art. 64 Abs. 1 VwVG sowie Art. 16 Abs. 1 Bst. a VGG i.V.m. Art. 7 Abs. 1, Art. 8 und 9 des Reglements vom 21. Februar 2008 über die Kosten und Entschädigungen vor dem Bundesverwaltungsgericht [VGKE, SR 173.320.2]). Das Anwaltshonorar beziehungsweise die Entschädigung für eine nichtanwaltliche berufsmässige Vertretung werden nach dem notwendigen Zeitaufwand des Vertreters oder der Vertreterin berechnet (Art. 10 Abs. 1 VGKE). In der am 15. März 2010 eingereichten Kostennote beziffert der Rechtsvertreter seinen Zeitaufwand auf insgesamt 18 Stunden, ohne jedoch genauer auszuführen, aus welchen Tätigkeiten sich dieser Gesamtaufwand zusammensetzt. Ebensowenig werden allfällige Auslagen aufgeführt. Angesichts der nicht übermässigen Komplexität des Verfahrens erscheint der ausgewiesene Aufwand in keiner Weise als angemessen. Die angegebene Stundenzahl wird vom Gericht als deutlich zu hoch angesehen. Die Rechtsmitteleingabe vom 2. August 2007 ist auf allgemeine Ausführungen zur politischen Lage im Iran beschränkt und lässt jede Bezugnahme zum vorliegenden Fall vermissen. Mithin ist davon auszugehen, dass es sich hierbei um eine vielfach verwendete Vorlage handelt, die lediglich an einzelnen Stellen angepasst wurde. Mit den nachfolgenden Eingaben wurden, überwiegend kommentarlos, Ausdrucke des Weblogs des Beschwerdeführers eingereicht. Diese nicht weniger als 48 Eingaben sind als weitestgehend redundant zu bezeichnen und deshalb nicht in vollem Umfang als gerechtfertigte Kosten der Vertretung zu werten. Unter Berücksichtigung der massgebenden Berechnungsfaktoren (Art. 9-11 und 13 VGKE) wird die vom BFM zu entrichtende Parteientschädigung pauschal auf Fr. 1'000.- (inkl. Auslagen und Mehrwertsteuer) festgesetzt.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