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E-51/2020 vom 6. Februar 2020</w:t>
      </w:r>
    </w:p>
    <w:p>
      <w:r>
        <w:t>Bundesverwaltungsgericht, 2020-02-06, DE</w:t>
      </w:r>
    </w:p>
    <w:p>
      <w:r>
        <w:rPr>
          <w:b/>
        </w:rPr>
        <w:t xml:space="preserve">Quelle: </w:t>
      </w:r>
      <w:r>
        <w:t>https://mcp.opencaselaw.ch/entscheid/bvger_E-51_2020</w:t>
      </w:r>
    </w:p>
    <w:p>
      <w:r>
        <w:t>FR: TAF E-51/2020 du 6 février 2020</w:t>
      </w:r>
    </w:p>
    <w:p>
      <w:r>
        <w:t>IT: TAF E-51/2020 del 6 febbraio 2020</w:t>
      </w:r>
    </w:p>
    <w:p>
      <w:pPr>
        <w:pStyle w:val="Heading2"/>
      </w:pPr>
      <w:r>
        <w:t>Regeste</w:t>
      </w:r>
    </w:p>
    <w:p>
      <w:r>
        <w:t>Nichteintreten auf Asylgesuch (sicherer Drittstaat 31a I a,c,d,e)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Der Beschwerdeführer ist als Verfügungsadressat zur Beschwerdeführung legitimiert (Art. 48 Abs. 1 VwVG). Auf die frist- und formgerecht eingereichte Beschwerde ist einzutreten (Art. 108 Abs. 3 AsylG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Gestützt auf Art. 111a Abs. 1 AsylG wurde vorliegend auf die Durchführung eines Schriftenwechsels verzichtet.</w:t>
      </w:r>
    </w:p>
    <w:p>
      <w:r>
        <w:rPr>
          <w:b/>
        </w:rPr>
        <w:t>E. 2.3</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w:t>
      </w:r>
    </w:p>
    <w:p>
      <w:r>
        <w:rPr>
          <w:b/>
        </w:rPr>
        <w:t>E. 3.2</w:t>
      </w:r>
    </w:p>
    <w:p>
      <w:r>
        <w:t>Im Falle von unbegleiteten Minderjährigen ohne familiäre Anknüpfungspunkte (zu einem anderen Mitgliedstaat) ist gemäss Art. 8 Abs. 4 Dublin-III-VO der Staat zuständig, in welchem der Minderjährige seinen Antrag gestellt hat, sofern es dem Wohl des Minderjährigen dient. Eine Anwendung dieser Bestimmung würde im vorliegenden Fall eine vorrangige Zuständigkeit der Schweiz begründen (vgl. statt vieler: Urteil des BVGer E-5167/2019 vom 14. Oktober 2019 E. 3.2).</w:t>
      </w:r>
    </w:p>
    <w:p>
      <w:r>
        <w:rPr>
          <w:b/>
        </w:rPr>
        <w:t>E. 4</w:t>
      </w:r>
    </w:p>
    <w:p>
      <w:r>
        <w:t>Die Vorinstanz gelangte in der angefochtenen Verfügung zum Ergebnis, der Beschwerdeführer habe die von ihm geltend gemachte Minderjährigkeit weder glaubhaft machen noch eindeutig belegen können, weshalb er in Gesamtwürdigung aller Anhaltspunkte für das weitere Verfahren weiterhin als volljährig betrachtet und als Geburtsdatum der (...) 20(...) geführt werde. Gestützt auf die Dublin-III-VO sei Schweden für sein Asylgesuch zuständig, weshalb auf dieses nicht eingetreten werde. Im Rahmen seines Asylverfahrens in der Schweiz habe er sich ungenau und widersprüchlich zu seinem Alter geäussert. Weiter würden seine in der Schweiz gemachten Altersangaben nicht mit seinen Angaben gegenüber den schwedischen und finnischen Behörden beziehungsweise deren Feststellungen übereinstimmen. Sodann habe er im schwedischen Asylverfahren anlässlich der Rückübersetzung des Anhörungsprotokolls keine Korrektur beantragt, obwohl gemäss seinen Vorbringen sein Alter damals falsch erfasst worden sei. Entgegen seiner Behauptung gehe aus den schwedischen Unterlagen nicht hervor, dass er keinen qualifizierten Übersetzer zugewiesen erhalten habe. Des Weiteren habe bei der Übersetzung der schwedischen Unterlagen mittels Google Translator - welche aus Zeitgründen nur für die relevanten Stellen vorgenommen worden sei - der mitunterzeichnende (...) mitgewirkt, welcher über ausgezeichnete Kenntnisse der skandinavischen Sprache verfüge. Sodann sei das vom SEM in Auftrag gegebene Altersgutachten zum Schluss gekommen, das durch das SEM festgelegte Alter von (...) Jahren und (...) Monaten könne aufgrund der forensischen Altersschätzung zutreffen. Das vom Beschwerdeführer angegebene Alter von (...) Jahren und (...) Monaten könne somit nicht zutreffen. Die Formulierung des schwedischen Altersgutachtens vom (...) 20(...), wonach er im Zeitpunkt der Untersuchung "möglicherweise unter (...) Jahren alt" gewesen sei, zeige ferner, dass seine Minderjährigkeit damals nicht zweifelsfrei habe festgestellt werden können. Das vom SEM festgestellte Alter von (...) Jahren und (...) Monaten lasse sich mit den vorliegenden Altersgutachten in Einklang bringen und sei wahrscheinlicher als das von ihm angegebene Alter. Somit vermöchten seine Ausführungen die Zuständigkeit Schwedens zur Durchführung des Asyl- und Wegweisungsverfahrens nicht zu widerlegen. Ferner weise das schwedische Asylverfahren keine systematischen Mängel auf und es bestehe weder nach den Bestimmungen über abhängige Personen noch nach denjenigen der Ermessenklausel beziehungsweise der Souverenitätsklausel eine Verpflichtung, das Gesuch in der Schweiz zu prüfen. Schliesslich stehe auch sein Gesundheitszustand einer Ausreise nach Schweden nicht entgegen.</w:t>
      </w:r>
    </w:p>
    <w:p>
      <w:r>
        <w:rPr>
          <w:b/>
        </w:rPr>
        <w:t>E. 5</w:t>
      </w:r>
    </w:p>
    <w:p>
      <w:r>
        <w:t>Dem wird in der Rechtsmitteleingabe entgegengehalten, der Beschwerdeführer habe bezüglich seines Alters stets konstante Angaben gemacht und lediglich seine Angaben zu Monat und Tag seines Geburtstages nachträglich korrigiert. Dies deshalb, da er sich anfänglich dazu gedrängt gesehen habe, ein konkretes Datum anzugeben, obwohl ihm nur seinem Altersjahr bekannt gewesen sei. In diesem Zusammenhang seien unter anderem auch sein psychischer Gesundheitszustand sowie sein niedriger Bildungsgrad zu berücksichtigen. Sodann habe er im Zusammenhang mit den Aussagen zu seinem Alter diverse Realkennzeichen geliefert und im psychiatrischen Konsilium vom 27. August 2019 werde ihm ein jugendliches Alter attestiert. Bezüglich seines Lebensalters beziehungsweise seines Geburtsjahres habe er stets das Gleiche angegeben, jedoch hätten die schwedischen Behörden damals sein deklariertes Geburtsdatum aufgrund eines Übersetzungsfehlers falsch festgehallten, was im schwedischen Asylverfahren nicht mehr so leicht zu ändern sei. Weiter würden in dem vom SEM in Auftrag gegebenen Altersgutachten vom 30. Oktober 2019 die Untersuchungen des Handgelenkknochens, der Schlüsselbeinanteile, der Geschlechtsreife, der anthropometrischen Masse sowie der Zähne jeweils ein Alter unter (...) Jahren ergeben. Das geltend gemachte Geburtsdatum vom (...) 20(...) sei mit dem Altersgutachten demzufolge vereinbar und als Indiz zu werten, dass das behauptete Geburtsdatum das zutreffende sei. Eventualiter sei das Geburtsdatum praxisgemäss auf den (...) 20(...) festzusetzen. Sodann stütze das SEM in seinen Erwägungen auf drei schwedische Dokumente ab, welche mit Hilfe von Google Translate nur auszugsweise und nicht einwandfrei übersetzt worden seien. Diese Übersetzungen könnten keine genügende Entscheidgrundlage darstellen. Dass der mitunterzeichnende (...), welcher über ausgezeichnete Kenntnisse der skandinavischen Sprache verfügen soll, an den Übersetzungen mitgewirkt haben soll, könne nicht überprüft werden und die Anmerkung der Vorinstanz wirke nachgeschoben. Des Weiteren habe die Vorinstanz lediglich einzelne Seiten aus den schwedischen Unterlagen übersetzt. Insbesondere wäre eine Übersetzung des Dokuments mit dem Titel "Överklagande" - was gemäss Google Translate "Beschwerde" bedeute - aufschlussreich gewesen. Nicht sachdienlich sei des Weiteren der Verweis auf Aussagen einer SEM-Mitarbeiterin, welche angeblich für die schwedischen Asylbehörden tätig gewesen sei und deshalb über vertiefte Kenntnisse des schwedischen Asylverfahrens verfügen soll. Im Zusammenhang mit dem in Schweden erstellten Altersgutachten könne diesem - unter Zuhilfenahme des erwähnten Übersetzungsprogrammes - nur entnommen werden, dass der Beschwerdeführer im Zeitpunkt der Untersuchung mit überwiegender Wahrscheinlichkeit minderjährig gewesen sei. Die Vorinstanz habe durch ihre Verfahrensführung den Untersuchungsgrundsatz sowie den Anspruch des Beschwerdeführers auf rechtliches Gehör verletzt. Schliesslich sei aufgrund seiner gesundheitlichen Verfassung ein Selbsteintritt der Schweizer Behörden angezeigt.</w:t>
      </w:r>
    </w:p>
    <w:p>
      <w:r>
        <w:rPr>
          <w:b/>
        </w:rPr>
        <w:t>E. 6.1</w:t>
      </w:r>
    </w:p>
    <w:p>
      <w:r>
        <w:t>In Bezug auf die Alterseinschätzung stellt die Vorinstanz neben dem in der Schweiz erstellten Altersgutachten sowie den Aussagen des Beschwerdeführers anlässlich der Erstbefragung vom 2. August 2019 insbesondere auf das Ergebnis des in Schweden erstellten Altersgutachtens vom (...) 20(...), auf eine im Rahmen des schwedischen Asylverfahrens von der damaligen Rechtsvertretung verfassten Eingabe vom (...) 20(...) sowie den erstinstanzlichen schwedischen Asylentscheid vom (...) 20(...) ab. Die beiden letztgenannten Dokumente wurden von der Vorinstanz nur auszugsweise übersetzt und die Übersetzungen dem Beschwerdeführer zwecks Gewährung des rechtlichen Gehörs zugänglich gemacht. Die Übersetzungen wurden gemäss Auskunft des SEM insbesondere mittels eines über das Internet zugänglichen Übersetzungsprogrammes (Google Translate) erstellt, unter Beizug eines die skandinavische Sprache beherrschenden Mitarbeiters (vgl. S. 10 der angefochtenen Verfügung). Das schwedische Altersgutachten wurde dem Beschwerdeführer in der Originalsprache zugestellt (vgl. SEM-Akten 50/2). In Übereinstimmung mit dem Beschwerdeführer ist festzuhalten, dass das Gebot der Verfahrenstransparenz und mithin der Anspruch auf ein faires Verfahren (Art. 29 BV) vorliegend eine vollständige, unabhängige und zertifizierte Übersetzung der erwähnten ausländischen Dokumente erfordern. Das SEM ist deshalb anzuhalten, die Dokumente in der beschriebenen Weise übersetzen zu lassen und gestützt auf diese Übersetzungen - nach Einräumung des rechtlichen Gehörs - einen neuen Entscheid zu fällen. Dies soweit die Frage der Minderjährigkeit für den Beschwerdeführer nach den nachfolgenden Ausführungen überhaupt noch von Relevanz sein sollte beziehungsweise er an seinem Berichtigungsbegehren weiterhin festhalten sollte.</w:t>
      </w:r>
    </w:p>
    <w:p>
      <w:r>
        <w:rPr>
          <w:b/>
        </w:rPr>
        <w:t>E. 6.2.1</w:t>
      </w:r>
    </w:p>
    <w:p>
      <w:r>
        <w:t>Wie bereits unter E.3.2 ausgeführt, ist im Falle von unbegleiteten Minderjährigen ohne familiäre Anknüpfungspunkte zu einem Mitgliedstaat gemäss Art. 8 Abs. 4 Dublin-III-VO der Staat zuständig, in welchem der Minderjährige seinen Antrag gestellt hat. Im Urteil des Europäischen Gerichtshofs [EuGH] vom 6. Juni 2013 in der Rechtssache C-648/11, M.A., B.T. und D.A. vs. Vereinigtes Königreich, wurde dazu präzisierend ausgeführt, dass im Falle eines unbegleiteten Minderjährigen, welcher in mehr als einem Mitgliedstaat einen Asylantrag gestellt hat, derjenige Mitgliedstaat zuständig ist, in welchem sich der Minderjährige aufhält, nachdem er dort einen Asylantrag gestellt hat. Diese Auslegung, welcher auch die Schweizer Rechtspraxis folgt (vgl. E.3.2), führt dazu, dass es unbegleitete Minderjährige weitgehend in der Hand haben, ihren Zielstaat frei zu wählen (vgl. Filzwieser/ Sprung, Dublin III-Verordnung, 2014, S. 124, K 15 zu Art. 8 Art). Dies soll gemäss dem zitierten Urteil des EuGH unbegleiteten Minderjährigen jedoch nicht die Möglichkeit eröffnen, nach einem abschlägigen Asylentscheid eines Mitgliedstaates mittels identischen Asylgesuchen nach Belieben weitere Asylverfahren in anderen Mitgliedstaaten einzuleiten (vgl. Urteil des EuGH C-648/11 a.a.O.). Der im Dublin-Zuständigkeitssystem geltende Grundsatz, dass ein Asylantrag von einem einzigen Mitgliedstaat geprüft wird (Art. 3 Abs. 1 Dublin-III-VO), soll durch die beschriebene Rechtsprechung demgemäss nicht ausgehebelt werden. Die Richtlinie 2013/32/EU des Europäischen Parlaments und des Rates vom 26. Juni 2013 zu gemeinsamen Verfahren für die Zuerkennung und Aberkennung des internationalen Schutzes, ABl. L 180/60 vom 29.06.2013 (sogenannte Asylverfahrensrichtlinie) hält denn in Art. 33 Abs. 2 Bst. d fest, dass Mitgliedstaaten einen Antrag auf internationalen Schutz als unzulässig betrachten können, wenn es sich um einen Folgeantrag handelt, bei dem keine neuen Umstände oder Erkenntnisse zur Frage der internationalen Schutzbedürftigkeit zutage treten oder vom Antragsteller vorgebracht werden. Dieses System entspricht im Grundsatz der in Art. 111c Abs. 2 AsylG vorgesehenen Möglichkeit, unbegründete oder wiederholt gleich begründete Mehrfachgesuche formlos abzuschreiben.</w:t>
      </w:r>
    </w:p>
    <w:p>
      <w:r>
        <w:rPr>
          <w:b/>
        </w:rPr>
        <w:t>E. 6.2.2</w:t>
      </w:r>
    </w:p>
    <w:p>
      <w:r>
        <w:t>Nach dem Ausgeführten ist festzuhalten, dass bei Vorliegen eines abschlägigen Asylentscheids durch einen Dublin-Mitgliedstaat betreffend eines unbegleiteten Minderjährigen, dessen identisches Folgegesuch in der Schweiz keine Zuständigkeit im Sinne von Art. 8 Abs. 4 Dublin-III-VO zu begründen vermag. Der das Asyl ablehnende Mitgliedstaat ist in einem solchen Fall zur Wiederaufnahme nach Art. 18 Abs. 1 Bst. d Dublin-III-VO verpflichtet.</w:t>
      </w:r>
    </w:p>
    <w:p>
      <w:r>
        <w:rPr>
          <w:b/>
        </w:rPr>
        <w:t>E. 6.2.3</w:t>
      </w:r>
    </w:p>
    <w:p>
      <w:r>
        <w:t>Aufgrund der Durchsicht der in den Akten enthaltenen schwedischen Dokumente gelangt das Gericht zur vorläufigen Feststellung, dass die schwedischen Migrationsbehörden das Asylgesuch des Beschwerdeführers vom (...) 20(...) mit Entscheid vom (...) 20(...) abwiesen und die Wegweisung sowie den Vollzug nach Afghanistan anordneten und das Verwaltungsgericht E._______ diesen Entscheid mit Urteil vom (...) 20(...) bestätigte. Ob dieses Urteil mit aufschiebender Wirkung an eine höhere Instanz weitegezogen wurde oder in Rechtskraft erwuchs, lässt sich den Akten nicht entnehmen. Aufgrund der von der Vorinstanz nur auszugsweise vorgenommenen Übersetzungen der schwedischen Asylentscheide sind auch keine abschliessenden Einschätzungen in Bezug auf die Identität der in Schweden und der in der Schweiz gestellten Asylgesuche möglich. Auch ist festzuhalten, dass sich die Vorinstanz mit dem hier umschriebenen Themenkreis bisher nicht auseinandergesetzt hat.</w:t>
      </w:r>
    </w:p>
    <w:p>
      <w:r>
        <w:rPr>
          <w:b/>
        </w:rPr>
        <w:t>E. 6.2.4</w:t>
      </w:r>
    </w:p>
    <w:p>
      <w:r>
        <w:t>Weiter ist aufgrund der Akten davon auszugehen, dass Schweden den Vollzug der Wegweisung des Beschwerdeführers nach Afghanistan beabsichtigt. Da aus den Akten nicht hervorgeht, dass der Beschwerdeführer aus einer der drei grösseren Städte Kabul, Herat oder Mazar-i-Sharif stammt, würde dies ein Abweichung von der Schweizerischen Praxis darstellen, da das SEM und das Bundesverwaltungsgericht bei einer solchen Konstellation in der Regel den Wegweisungsvollzug infolge Unzumutbarkeit zugunsten einer vorläufigen Aufnahme aufschieben (vgl. die Referenzurteile D-4287/2017 vom 8. Februar 2019 und D-5800/2016 vom 13. Oktober 2017 sowie BVGE 2011/49 und BVGE 2011/38). Die Vorinstanz hat sich in der angefochtenen Verfügung vom 23. Dezember 2019 lediglich mit der Überstellung nach Schweden auseinandergesetzt. Sie ist deshalb anzuweisen, nach fachgerechter Übersetzung (vgl. E. 6.1) der schwedischen Asylentscheide, sich im Zusammenhang mit einer Überstellung des Beschwerdeführers nach Schweden auch zum dort angeordneten Wegweisungsvollzug nach Afghanistan zu äussern. Insbesondere wäre dabei auch die aktenkundige gesundheitliche Verfassung des Beschwerdeführers zu berücksichtigen.</w:t>
      </w:r>
    </w:p>
    <w:p>
      <w:r>
        <w:rPr>
          <w:b/>
        </w:rPr>
        <w:t>E. 6.3.1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einerseits in einer unvollständigen Sachverhaltsfeststellung, da der exakte und vollständige Inhalt der schwedischen Verfahrensunterlagen nicht bekannt ist. Insbesondere die ausländischen Asylentscheide könnten angesichts des vorstehend ausgeführten massgebenden Einfluss auf die Frage der Zuständigkeit der Schweiz beziehungsweise auf den Entscheid betreffend eine Überstellung nach Schweden haben. Andererseits hat sich die Vorinstanz mit den hier zur Diskussion stehenden Problemkreisen des Folgegesuches im Dublin-Kontext sowie einer möglichen Wegweisung nach Afghanistan nicht auseinandergesetzt. Im Falle eines abschliessenden Urteils durch das Bundesverwaltungsgericht würde dem Beschwerdeführer die Möglichkeit genommen, sich Rahmen seines Anspruchs auf rechtliches Gehör zu den hier zu diskutierenden Problemfeldern zu äussern.</w:t>
      </w:r>
    </w:p>
    <w:p>
      <w:r>
        <w:rPr>
          <w:b/>
        </w:rPr>
        <w:t>E. 6.3.2</w:t>
      </w:r>
    </w:p>
    <w:p>
      <w:r>
        <w:t>Nach dem vorstehend Ausgeführten ist die Beschwerde im Eventualantrag gutzuheissen und die Sache an die Vorinstanz zu neuem Entscheid zurückzuweisen (Art. 61 Abs. 1 VwVG). Diese ist insbesondere anzuweisen, die vorstehend erwähnten Unterlagen, insbesondere die Asylentscheide der schwedischen Behörden, durch ein zertifiziertes Übersetzungsbüro vollständig übersetzen zu lassen. Sollte sich die Vorinstanz im Rahmen ihrer neuen Entscheidung dazu entschliessen, auf weitere, in diesem Urteil nicht erwähnte ausländische Dokumente abzustellen, sind auch diese im beschriebenen Sinne zu übersetzen (vgl. E. 6.1). Des Weiteren hat die Vorinstanz zu prüfen, ob es sich bei den in Schweden und in der Schweiz gestellten Asylgesuchen um identische Gesuche im oben erwähnten Sinne handelt. Sollte sich ferner nach fachgerechter Übersetzung der schwedischen Asylentscheide mit Sicherheit herausstellen, dass die dortigen Behörden in Abweichung der hiesigen Rechtspraxis den Wegweisungsvollzug des Beschwerdeführers nach Afghanistan beabsichtigen, wäre diesem Umstand durch die Vorinstanz im Rahmen der Entscheiderwägungen Rechnung zu tragen.</w:t>
      </w:r>
    </w:p>
    <w:p>
      <w:r>
        <w:rPr>
          <w:b/>
        </w:rPr>
        <w:t>E. 7.1</w:t>
      </w:r>
    </w:p>
    <w:p>
      <w:r>
        <w:t>Bei diesem Ausgang des Verfahrens sind keine Kosten zu erheben (Art. 63 Abs. 1 und 2 VwVG). Die Gesuche um Gewährung der unentgeltlichen Prozessführung gemäss Art. 65 Abs. 1 VwVG sowie um Verzicht auf die Erhebung eines Kostenvorschusses sind damit gegenstandslos geworden.</w:t>
      </w:r>
    </w:p>
    <w:p>
      <w:r>
        <w:rPr>
          <w:b/>
        </w:rPr>
        <w:t>E. 7.2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