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E-5192/2012 vom 10. Oktober 2012</w:t>
      </w:r>
    </w:p>
    <w:p>
      <w:r>
        <w:t>Bundesverwaltungsgericht, 2012-10-10, DE</w:t>
      </w:r>
    </w:p>
    <w:p>
      <w:r>
        <w:rPr>
          <w:b/>
        </w:rPr>
        <w:t xml:space="preserve">Quelle: </w:t>
      </w:r>
      <w:r>
        <w:t>https://mcp.opencaselaw.ch/entscheid/bvger_E-5192_2012</w:t>
      </w:r>
    </w:p>
    <w:p>
      <w:r>
        <w:t>FR: TAF E-5192/2012 du 10 octobre 2012</w:t>
      </w:r>
    </w:p>
    <w:p>
      <w:r>
        <w:t>IT: TAF E-5192/2012 del 10 ottobre 2012</w:t>
      </w:r>
    </w:p>
    <w:p>
      <w:pPr>
        <w:pStyle w:val="Heading2"/>
      </w:pPr>
      <w:r>
        <w:t>Regeste</w:t>
      </w:r>
    </w:p>
    <w:p>
      <w:r>
        <w:t>Nichteintreten auf Asylgesuch (Safe Country)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im Sinne der Erwägungen gutgeheissen, soweit darauf eingetreten wird. Die angefochtene Verfügung wird aufgehoben und die Sache zu neuer Entscheidung an die Vorinstanz zurückgewiesen.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Es wird keine Parteientschädigung ausgerichtet.</w:t>
      </w:r>
    </w:p>
    <w:p>
      <w:r>
        <w:rPr>
          <w:b/>
        </w:rPr>
        <w:t>E. 4</w:t>
      </w:r>
    </w:p>
    <w:p>
      <w:r>
        <w:t>Dieses Urteil geht an die Beschwerdeführerin, das BFM und die zuständige kantonale Behörde. Die Einzelrichterin: Der Gerichtsschreiber: Gabriela Freihofer Simon Thurnheer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