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E-5191/2016 vom 1. März 2017</w:t>
      </w:r>
    </w:p>
    <w:p>
      <w:r>
        <w:t>Bundesverwaltungsgericht, 2017-03-01, DE</w:t>
      </w:r>
    </w:p>
    <w:p>
      <w:r>
        <w:rPr>
          <w:b/>
        </w:rPr>
        <w:t xml:space="preserve">Quelle: </w:t>
      </w:r>
      <w:r>
        <w:t>https://mcp.opencaselaw.ch/entscheid/bvger_E-5191_2016</w:t>
      </w:r>
    </w:p>
    <w:p>
      <w:r>
        <w:t>FR: TAF E-5191/2016 du 1 mars 2017</w:t>
      </w:r>
    </w:p>
    <w:p>
      <w:r>
        <w:t>IT: TAF E-5191/2016 del 1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der Asylpunkt, die Wegweisung und die Flüchtlingseigenschaft des Beschwerdeführers.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das Vorbringen des Beschwerdeführers, er habe sich seiner Dienstpflicht entzogen, sei in zentralen Punkten widersprüchlich. So mache er unterschiedliche Angaben zur im Jahr 2002 erlittenen Haft, zur militärischen Grundausbildung, zum Fluchtzeitpunkt und zu seinen Aufgaben im Nationaldienst. Ebenfalls falle auf, dass seine Ausführungen an den zentralen Stellen nicht über die nötige Substanz verfügen würden. Aufgrund dieser Widersprüche und Ungereimtheiten entstehe der Eindruck, dass es sich bei seinen Vorbringen im Zusammenhang mit einer offenen Dienstpflicht lediglich um ein Konstrukt handle. Es könne nicht geglaubt werden, dass er aus dem Nationaldienst desertiert sei respektive sich der Dienstpflicht entzogen habe.</w:t>
      </w:r>
    </w:p>
    <w:p>
      <w:r>
        <w:rPr>
          <w:b/>
        </w:rPr>
        <w:t>E. 4.2</w:t>
      </w:r>
    </w:p>
    <w:p>
      <w:r>
        <w:t>Der Beschwerdeführer wendet dagegen ein, es sei nachvollziehbar, dass er sich an die Haft, die im Befragungszeitpunkt zwölf Jahre zurückgelegen habe, nicht mehr ganz genau erinnern könne. Zudem sei diese nicht kausal für seine Ausreise gewesen, weshalb die Ungereimtheit nicht gegen die Glaubhaftigkeit seiner Asylvorbringen spreche. Die abweichende Darstellung in Bezug auf die erneute Einberufung zur militärischen Grundausbildung habe er auf Vorhalt aufklären können. Dass er zum Fluchtzeitpunkt unterschiedliche Angaben mache, sei darauf zurückzuführen, dass er Probleme habe, sich Daten zu merken. Bezüglich seiner Aufgaben im Nationaldienst handle es sich nicht um Widersprüche. Seine teilweise einsilbigen Antworten seien auf seine nüchterne Erzählweise zurückzuführen. Dies sei nicht erstaunlich, da er ein Leben lang als Hirte tätig gewesen sei. Im Sinne einer Gesamtwürdigung würden seine Vorbringen den Anforderungen an die Glaubhaftigkeitsprüfung genügen. Seine Vorbringen seien asylrelevant, weshalb er wegen Wehrdienstverweigerung als Flüchtling anzuerkennen sei.</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ausgefallen ist. So trifft es zu, dass sich in den Schilderungen des Beschwerdeführers zahlreiche Widersprüche finden. Er bringt vor, nachdem er im Jahr 2002 die militärische Grundausbildung absolviert habe, sei er geflohen, danach festgenommen und inhaftiert worden. Bezüglich der Länge der Haft widerspricht er sich jedoch. Einerseits bringt er vor, drei Monate in Haft gewesen zu sein (SEM-Akten, A4/12 S. 8), andererseits sei er sechs Monate im Gefängnis gewesen (SEM-Akten, A17/26 F110 ff.). Seine Erklärung, dass er zuerst drei Monate eingesperrt gewesen sei und sich das Haftregime danach gelockert habe, muss als nachgeschoben qualifiziert werden (SEM-Akten, A17/26 F188 f.). Entgegen den Beschwerdevorbringen ist diese Ungereimtheit sehr wohl relevant, stellt sie doch den Beginn des vom Beschwerdeführer angeblich geleisteten zivilen Nationaldienstes nach seiner Freilassung dar. Unterschiedliche Angaben finden sich auch zu seinem Aufgabenbereich im zivilen Nationaldienst. In der BzP gibt der Beschwerdeführer an, dass er als Hirte tätig gewesen sei. Die Regierung habe eigene Kühe gehabt (SEM-Akten, A4/12 S. 8). Anlässlich der Anhörung spricht der Beschwerdeführer nunmehr von Schafen (SEM-Akten, A17/26 F45). Diesen Widerspruch kann er auch auf Vorhalt nicht entkräften (vgl. SEM-Akten, A17/26 F191). Unklar ist auch, wie er von seiner nochmaligen Einberufung nach Sawa erfahren hat. In der BzP gibt er hierzu zu Protokoll, er habe dies von einer Person Namens B._______ erfahren (SEM-Akten, A4/12 S. 8), während er in der Anhörung angibt, seine Mutter habe das Schreiben erhalten, das ihn aufgefordert habe, nach Sawa einzurücken (SEM-Akten, A17/26 F72). B._______ erwähnt er in diesem Zusammenhang jedoch auch. Allerdings sei dieser von der Verwaltung und habe jemanden geschickt, der das Schreiben seiner Mutter gebracht habe (SEM-Akten, A17/26 F82 ff.). Dass er von seiner Einberufung durch B._______ erfahren hat, wie er es in der BzP gesagt hat, ist der Anhörung nicht zu entnehmen. Ausserdem ist festzuhalten, dass der Beschwerdeführer in der Anhörung davon spricht, B._______ sei der Verwalter seines Dorfes C._______ (SEM-Akten, A17/26 F83 f.), während er in seiner Beschwerde vorbringt, dieser arbeite auf der Verwaltung von D._______ (Beschwerde, S. 6). Ebenfalls zutreffend führt die Vorinstanz aus, dass er unterschiedliche Angabe dazu macht, wann er nach dem Erhalt des Marschbefehls sein Zuhause verlassen habe. In der BzP gibt er an, nach dem Erhalt des Marschbefehls noch zehn Tage zu Hause geblieben zu sein (SEM-Akten, A4/12 S. 6 ff.), während er in der Anhörung zu Protokoll gibt, er habe sein Dorf am nächsten Tag verlassen (SEM-Akten, A17/26 F78). Dies damit zu erklären, dass er Probleme habe sich Daten zu merken, greift zu kurz, zumal es sich um einen entscheidenden Punkt in seinen Vorbringen handelt und doch ein grosser Unterschied zwischen einer sofortigen Ausreise und einer Ausreise nach zehn Tagen besteht. Schliesslich führt die Vorinstanz korrekt aus, dass es den Ausführungen des Beschwerdeführers allgemein an Substanz fehle. Diesbezüglich ist auf die zutreffenden Ausführungen in der angefochtenen Verfügung zu verweisen.</w:t>
      </w:r>
    </w:p>
    <w:p>
      <w:r>
        <w:rPr>
          <w:b/>
        </w:rPr>
        <w:t>E. 4.4</w:t>
      </w:r>
    </w:p>
    <w:p>
      <w:r>
        <w:t>Zusammenfassend ist festzuhalten, dass der Beschwerdeführer sein Vorbringen, dass er aus dem Nationaldienst desertiert sei respektive dass er diesen verweigert habe, nicht glaubhaft machen konnte. Es ist ihm nicht gelungen, eine im Zeitpunkt seiner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da seine diesbezüglichen Vorbringen nicht glaubhaft seien.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5.3</w:t>
      </w:r>
    </w:p>
    <w:p>
      <w:r>
        <w:t>Der Beschwerdeführer wendet dagegen ein, es gäbe keinen Grund für eine Änderung der publizierten Praxis des Bundesverwaltungsgerichts, da keine neuen Herkunftsländerinformationen zu Eritrea vorliegen würden. Zudem habe die Vorinstanz die COI-Standards nicht eingehalten. Angesichts der in Eritrea vorherrschenden Willkür und Unsicherheiten müsse nach wie vor angenommen werden, dass Personen, die illegal ausgereist seien, vom Regime weiterhin als Regimegegner erachtet werden würden und bei einer Rückkehr ernsthafte Nachteile im Sinne von Art. 3 AsylG zu gewärtigen hätten. Er habe seine illegale Ausreise glaubhaft darlegen können, weshalb er die Flüchtlingseigenschaft erfülle.</w:t>
      </w:r>
    </w:p>
    <w:p>
      <w:r>
        <w:rPr>
          <w:b/>
        </w:rPr>
        <w:t>E. 5.4</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5.5</w:t>
      </w:r>
    </w:p>
    <w:p>
      <w:r>
        <w:t>Die Frage der Zulässigkeit der Praxisänderung der Vorinstanz bezüglich der flüchtlingsrechtlichen Beurteilung der illegalen Ausreise aus Eritrea ist vom Bundesverwaltungsgericht somit geklärt worden. Dabei wurde auch kein Verstoss gegen die COI-Richtlinien, wie es in der Beschwerde vorgebracht wird, festgestellt. Das Gericht kam zum Schluss, dass allein aufgrund einer illegalen Ausreise keine begründete Furcht vor asylrechtlich beachtlicher Verfolgung angenommen werden könne (vgl. oben E. 5.4). Da die Ausführungen des Beschwerdeführers zu seiner Desertion unglaubhaft ausgefallen sind, weist er neben der illegalen Ausreise keine zusätzlichen Anknüpfungspunkte für eine Verschärfung seines Profils auf, weshalb sich keine asylrechtlich beachtliche Verfolgung annehmen lässt.</w:t>
      </w:r>
    </w:p>
    <w:p>
      <w:r>
        <w:rPr>
          <w:b/>
        </w:rPr>
        <w:t>E. 5.6</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Kosten dem Beschwerdeführer aufzuerlegen (Art. 63 Abs. 1 VwVG). Da der Antrag auf Gewährung der unentgeltlichen Prozessführung mit Zwischenverfügung vom 20. September 2016 gutgeheissen wurde, sind keine Kosten zu erheben.</w:t>
      </w:r>
    </w:p>
    <w:p>
      <w:r>
        <w:rPr>
          <w:b/>
        </w:rPr>
        <w:t>E. 8.2</w:t>
      </w:r>
    </w:p>
    <w:p>
      <w:r>
        <w:t>Mit Zwischenverfügung vom 5. Oktober 2016 wurde dem Beschwerdeführer die unentgeltliche Rechtsverbeiständung gewährt und lic. iur. LL.M. Tarig Hassan als amtlicher Vertreter eingesetzt. Der Rechtsvertreter reichte eine Kostennote in der Höhe von Fr. 3'350.80 (10.3 Stunden à Fr. 300.-, Fr. 12.60 Auslagen plus Mehrwertsteuer) ein. Bei amtlicher Vertretung geht das Bundesverwaltungsgericht in der Regel von einem Stundenansatz von Fr. 200.- bis Fr. 220.- für Anwältinnen und Anwälte und Fr. 100.- bis Fr. 150.- für nicht-anwaltliche Vertreterinnen und Vertreter aus. Es wird nur der notwendige Aufwand entschädigt (vgl. Art. 8 Abs. 2 des Reglements vom 21. Februar 2008 über die Kosten und Entschädigungen vor dem Bundesverwaltungsgericht [VGKE, SR 173.320.2]). Vorliegend ist mit einem Stundenansatz von Fr. 150.- zu rechnen und die Honorarnote entsprechend zu kürzen. Das amtliche Honorar ist deshalb auf Fr. 1'682.20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