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E-5186/2008 vom 9. April 2013</w:t>
      </w:r>
    </w:p>
    <w:p>
      <w:r>
        <w:t>Bundesverwaltungsgericht, 2013-04-09, DE</w:t>
      </w:r>
    </w:p>
    <w:p>
      <w:r>
        <w:rPr>
          <w:b/>
        </w:rPr>
        <w:t xml:space="preserve">Quelle: </w:t>
      </w:r>
      <w:r>
        <w:t>https://mcp.opencaselaw.ch/entscheid/bvger_E-5186_2008</w:t>
      </w:r>
    </w:p>
    <w:p>
      <w:r>
        <w:t>FR: TAF E-5186/2008 du 9 avril 2013</w:t>
      </w:r>
    </w:p>
    <w:p>
      <w:r>
        <w:t>IT: TAF E-5186/2008 del 9 aprile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83 Bst. c Ziff. 1 des Bundesgerichtsgesetzes vom 17. Juni 2005 [BGG, SR 173.110]),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37 VGG, Art. 50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Gegenstand der vorliegenden Beschwerde ist die durch das BFM verfügte Aufhebung der vorläufigen Aufnahme des Beschwerdeführers.</w:t>
      </w:r>
    </w:p>
    <w:p>
      <w:r>
        <w:rPr>
          <w:b/>
        </w:rPr>
        <w:t>E. 4.1</w:t>
      </w:r>
    </w:p>
    <w:p>
      <w:r>
        <w:t>Das Bundesamt begründete seine ablehnende Verfügung vom 14. Juli 2008 damit, der Beschwerdeführer stamme aus Dohuk im Nordirak. Die Schutzfähigkeit der staatlichen Machthaber sei im ehemals autonomen Nordirak grundsätzlich zu bejahen. Aus dem Persönlichkeitsprofil des Beschwerdeführers ergebe sich kein über die schwierige Alltagslage der kurdischen Mehrheitsbevölkerung im Nordirak hinausgehendes individuelles Gefährdungsindiz. Aufgrund der Sicherheitslage in den drei nordirakischen Provinzen Dohuk, Erbil und Suleymaniya herrsche dort keine Situation allgemeiner Gewalt. Der Vollzug der Wegweisung dorthin sei grundsätzlich zumutbar. Die Tatsache, dass zwischen Juli 2003 und März 2007 rund 500 Personen mit Rückkehrhilfe in den Irak zurückgekehrt seien, unterstreiche die Feststellungen zur Situation in dieser Region. Es bestünden mehrere direkte Flugverbindungen aus dem Ausland in den Nordirak, so dass Rückkehrende nicht via den Zentralirak reisen müssten. Die Einschätzung des BFM, wonach der Vollzug der Wegweisung in die drei genannten Provinzen grundsätzlich zumutbar sei, würden auch andere europäische Staaten teilen, was ebenfalls deren Richtigkeit unterstreiche. Auch das UNHCR stelle sich nicht grundsätzlich gegen Wegweisungen in die genannten Provinzen. Es empfehle einen "differentiated approach" und weise darauf hin, dass auf die Rückführung von "vulnerable groups" (alleinerziehende Frauen und Kranke) verzichtet werden solle. Diesem Anliegen trage das BFM Rechnung. Beim Beschwerdeführer bestünden keine individuellen Gründe, die gegen die Zumutbarkeit sprechen würden. Er sei mit 27 Jahren in die Schweiz gereist und habe den grösseren Teil seines Lebens in der Provinz Dohuk verbracht und sei mit der Sprache, Kultur, Lebens- und Arbeitsweise bestens vertraut. Er habe dort als Händler gearbeitet. Er sei gesund und alleinstehend und habe nach seiner Rückkehr lediglich für den Unterhalt für sich selbst zu sorgen. Mit seiner Familie verfüge er an seinem Wohnort über ein tragfähiges familiäres Beziehungsnetz. Schliesslich wurde auf das Rückkehrhilfeprogramm "Irak" hingewiesen. Hinweise auf eine gute Integration in der Schweiz sowie die schlechteren Zukunftsperspektiven in der Heimat seien für die Zumutbarkeit des Wegweisungsvollzugs unbeachtlich. Auf den Aspekt der Prüfung und Erteilung einer Aufenthaltsbewilligung werde nicht näher eingegangen.</w:t>
      </w:r>
    </w:p>
    <w:p>
      <w:r>
        <w:rPr>
          <w:b/>
        </w:rPr>
        <w:t>E. 4.2</w:t>
      </w:r>
    </w:p>
    <w:p>
      <w:r>
        <w:t>In der Rechtsmitteleingabe wird unter Hinweis auf die Stellungnahme vom 15. April 2008 dazu eingewendet, die Sicherheitslage und die wirtschaftliche Situation im Nordirak seien weiterhin schlecht. Der Beschwerdeführer könne sich zudem auch nicht auf die Unterstützung seiner Familie verlassen, da diese selber ums Überleben kämpfen würde. Die wenigen in den Irak zurückgekehrten Personen würden in einer schwierigen politischen und wirtschaftlichen Situation leben. Hingegen seien mehr als vier Millionen Menschen aus dem Irak geflüchtet. Im Übrigen habe das BFM die Berichte und Stellungnahmen von UNHCR, AI, ECRC und SFH nicht berücksichtigt.</w:t>
      </w:r>
    </w:p>
    <w:p>
      <w:r>
        <w:rPr>
          <w:b/>
        </w:rPr>
        <w:t>E. 4.3</w:t>
      </w:r>
    </w:p>
    <w:p>
      <w:r>
        <w:t>In ihrer Vernehmlassung vom 5. September 2008 hält die Vorinstanz an ihrem Standpunkt fest und führte weiter aus, in der angefochtenen Verfügung sei irrtümlich auf Art. 14b Abs. 2 ANAG, das seit dem 1. Januar 2008 durch das AuG abgelöst worden sei, verwiesen worden, wobei es sich um einen Kanzleifehler handle, aus welchem dem Beschwerdeführer kein Nachteil erwachsen sei, da das angewandte Recht materiell nicht geändert habe. Der Mangel sei daher geheilt. Immerhin sei anlässlich der Gewährung des rechtlichen Gehörs auf Art. 84 Abs. 2 AuG hingewiesen worden.</w:t>
      </w:r>
    </w:p>
    <w:p>
      <w:r>
        <w:rPr>
          <w:b/>
        </w:rPr>
        <w:t>E. 4.4</w:t>
      </w:r>
    </w:p>
    <w:p>
      <w:r>
        <w:t>In seiner Replik vom 10. Oktober 2008 macht der Beschwerdeführer dazu geltend, er sei seit dem 1. Oktober 2007 als (...) tätig und stelle kein Sicherheitsrisiko dar. Gleichzeitig verweist er erneut auf die Sicherheitslage im Irak, die weiterhin unstabil sei. Inzwischen sei er in der Schweiz mit C._______, welche in der Schweiz zusammen mit ihrer Familie um Schutz ersucht habe, kirchlich verheiratet. Er sei bereit mit ihr im Iran zu leben, sobald dies möglich sei.</w:t>
      </w:r>
    </w:p>
    <w:p>
      <w:r>
        <w:rPr>
          <w:b/>
        </w:rPr>
        <w:t>E. 4.5</w:t>
      </w:r>
    </w:p>
    <w:p>
      <w:r>
        <w:t>Am 14. Oktober 2008 reichte der Beschwerdeführer eine Geburtsbescheinigung samt deutscher Übersetzung ein.</w:t>
      </w:r>
    </w:p>
    <w:p>
      <w:r>
        <w:rPr>
          <w:b/>
        </w:rPr>
        <w:t>E. 4.6</w:t>
      </w:r>
    </w:p>
    <w:p>
      <w:r>
        <w:t>In seiner Eingabe vom 19. März 2012 hielt der Beschwerdeführer nach Aufforderung des Bundesverwaltungsgerichts vom 8. März 2012 fest, er habe sich am 4. August 2007 mit C._______ verlobt und habe am 26. Dezember 2010 kirchlich geheiratet. Wegen fehlenden irakischen Pässen hätten sie bisher nicht standesamtlich heiraten können. Seine Ehefrau lebe wegen ihrer Arbeit in D._______ bei den Eltern und besuche ihn an den Wochenenden. Sie habe eigene Fluchtgründe und sei in einem laufenden Beschwerdeverfahren. Er arbeite nunmehr seit viereinhalb Jahren in der Schweiz und habe sich bestens auf dem Arbeitsmarkt und in der schweizerischen Gesellschaft integriert.</w:t>
      </w:r>
    </w:p>
    <w:p>
      <w:r>
        <w:rPr>
          <w:b/>
        </w:rPr>
        <w:t>E. 4.7</w:t>
      </w:r>
    </w:p>
    <w:p>
      <w:r>
        <w:t>Mit Urteil des Bundesverwaltungsgerichts vom 8. Januar 2013 wurde C._______ (N [...]) in der Schweiz vorläufig aufgenommen.</w:t>
      </w:r>
    </w:p>
    <w:p>
      <w:r>
        <w:rPr>
          <w:b/>
        </w:rPr>
        <w:t>E. 4.8</w:t>
      </w:r>
    </w:p>
    <w:p>
      <w:r>
        <w:t>In ihrer ergänzenden Vernehmlassung vom 1. Februar 2013 hielt die Vorinstanz fest, die vorläufige Aufnahme der Partnerin des Beschwerdeführers ändere nichts in Bezug auf eine mögliche Gefährdung des Beschwerdeführers im Nordirak und eine allfällige Asylgewährung. Er sei im Irak nicht staatlich verfolgt.</w:t>
      </w:r>
    </w:p>
    <w:p>
      <w:r>
        <w:rPr>
          <w:b/>
        </w:rPr>
        <w:t>E. 5</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2 - 4 AuG).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w:t>
      </w:r>
    </w:p>
    <w:p>
      <w:r>
        <w:t>Die Vorinstanz wies in ihrer angefochtenen Verfügung vom 14. Juli 2008 zutreffend darauf hin, dass rechtskräftig festgestellt wurde, der Beschwerdeführer erfülle die Flüchtlingseigenschaft nicht, weshalb das in Art. 33 Abs. 1 FK und Art. 5 AsylG verankerte Prinzip des flüchtlingsrechtlichen Refoulementverbots im vor­liegenden Verfahren keine Anwendung findet. Die diesbezügliche Verfügung des BFM vom 23. August 2006 blieb unangefochten.</w:t>
      </w:r>
    </w:p>
    <w:p>
      <w:r>
        <w:rPr>
          <w:b/>
        </w:rPr>
        <w:t>E. 7.2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7.3</w:t>
      </w:r>
    </w:p>
    <w:p>
      <w:r>
        <w:t>Vorab ist festzuhalten, dass die allgemeine Sicherheitslage im kurdischen Nordirak den Wegweisungsvollzug zum heutigen Zeitpunkt nicht als unzulässig erscheinen lässt. Es kann hierzu im Detail auf den nach wie vor Gültigkeit beanspruchenden Inhalt des unter BVGE 2008/4 publizierten Urteils verwiesen werden. Auf die diesbezüglichen Rügen in der Beschwerde braucht daher nicht näher eingegangen zu werden. An dieser Stelle ist darauf hinzuweisen, dass in der angefochtenen Verfügung (vgl. S. 3, E. 3.) fälschlicherweise festgehalten wurde, die allgemeine Menschenrechtssituation in der Provinz Sulaymanyia lasse den Wegweisungsvollzug zum heutigen Zeitpunkt grundsätzlich nicht als unzulässig erscheinen, obwohl der Beschwerdeführer aus der Provinz Dohuk stammt und dort bis zur Ausreise gewohnt hat. Dazu ist festzustellen, dass es sich dabei offensichtlich um einen Schreibfehler handelt, zumal das BFM im Sachverhalt sowie in den übrigen Erwägungen richtigerweise Dohuk als Heimatprovinz des Beschwerdeführers bezeichnet hat. Zudem beziehen sich die vorinstanzlichen Erwägungen zur Zulässigkeit auf alle drei Nordprovinzen (Dohuk, Erbil und Sulaymanyia) respektive "den autonomen Nordirak", was im Übrigen auch der hievor erwähnten Praxis des Bundesverwaltungsgerichts entspricht. Aus diesen Gründen hat der Schreibfehler keinen Einfluss auf die (ansonsten richtige) Schlussfolgerung der Vorinstanz bezüglich der Zulässigkeit des Wegweisungsvollzugs und ist nicht zu beanstanden.</w:t>
      </w:r>
    </w:p>
    <w:p>
      <w:r>
        <w:rPr>
          <w:b/>
        </w:rPr>
        <w:t>E. 7.4</w:t>
      </w:r>
    </w:p>
    <w:p>
      <w:r>
        <w:t>Im Übrigen könnte sich der Beschwerdeführer aufgrund der vorläufigen Aufnahme seiner Partnerin (N [...]), mit der er kirchlich verheiratet ist und die er beabsichtige, standesamtlich zu heiraten, auch nicht auf Art. 8 EMRK berufen. Gemäss konstanter bundesgerichtlicher Rechtsprechung wird ein Rechtsanspruch aus Art. 8 EMRK nur dann anerkannt, wenn die in der Schweiz wohnhaften Familienangehörigen über ein gefestigtes Anwesenheitsrecht verfügen (vgl. BGE 135 I 143 E. 1.3.1 S. 145 f.). Das Bundesverwaltungsgericht hat sich der bundesgerichtlichen Rechtsprechung in ständiger Praxis angeschlossen (vgl. BVGE 2012/4 E. 4.3 f.). Die Partnerin des Beschwerdeführers verfügt gemäss Aktenlage lediglich über eine aus dem Asylrecht abgeleitete vorläufige Aufnahme und mithin über kein gefestigtes Anwesenheitsrecht, auf dessen Verlängerung ein Anspruch besteht.</w:t>
      </w:r>
    </w:p>
    <w:p>
      <w:r>
        <w:rPr>
          <w:b/>
        </w:rPr>
        <w:t>E. 7.5</w:t>
      </w:r>
    </w:p>
    <w:p>
      <w:r>
        <w:t>Nach dem Gesagten ist der Vollzug der Wegweisung somit sowohl im Sinne der asyl- als auch der völkerrechtlichen Bestimmungen zulässig.</w:t>
      </w:r>
    </w:p>
    <w:p>
      <w:r>
        <w:rPr>
          <w:b/>
        </w:rPr>
        <w:t>E. 8.1</w:t>
      </w:r>
    </w:p>
    <w:p>
      <w:r>
        <w:t>Nach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auf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rPr>
          <w:b/>
        </w:rPr>
        <w:t>E. 8.2</w:t>
      </w:r>
    </w:p>
    <w:p>
      <w:r>
        <w:t>Das Bundesverwaltungsgericht hatte in seinem Grundsatzurteil BVGE 2008/5 festgestellt, dass eine Rückkehr abgewiesener Asylsuchender in das Kurdische Autonomiegebiet nicht generell unzumutbar ist (vgl. a.a.O. E. 7.5), wobei in diesem Entscheid wiederholt die Rede von den drei kurdisch kontrollierten Provinzen Dohuk, Erbil und Suleimaniya war. Die Anordnung des Vollzugs von Wegweisungen in das Kurdische Autonomiegebiet setzt gemäss BVGE 2008/5 voraus, dass die betreffende Person entweder ursprünglich aus der Region stammt oder längere Zeit dort gelebt hat und über ein soziales Netz oder über Beziehungen zu den herrschenden Parteien verfügt, wobei für alleinstehende Frauen und für Familien mit Kindern, sowie für Kranke und Betagte bei der Feststellung der Zumutbarkeit des Wegweisungsvollzugs grosse Zurückhaltung angebracht ist (a.a.O. E. 7.5 und insbesondere 7.5.8). Zwar hat das türkische Militär in den Jahren 2007 und 2008 - wie vom Beschwerdeführer in seiner Stellungnahme sowie auf Beschwerdeebene vorgebracht - eine Offensive gegen PKK-Stellungen im Nordirak geführt. Die allgemeine Sicherheitslage wurde dadurch jedoch nicht beeinflusst. Die Sicherheitssituation in den drei kurdischen Provinzen hat sich seit Publikation der erwähnten Urteile nicht verschlechtert. In der überwiegenden Mehrheit der Berichte von Regierungs- und Nichtregierungsorganisationen sowie des UN-Sicherheitsrats wird weiterhin eine insgesamt stabile Situation beschrieben. Diesbezüglich ist auf die weitergeführte Praxis des Bundesverwaltungsgerichts hinzuweisen (vgl. bspw. das Urteil vom 14. März 2011 [E-1804/2008]). An dieser Einschätzung vermögen auch die seit dem Jahr 2011 in mehreren muslimischen Ländern stattfindenden Unruhen und Massenproteste, bei denen es zu zahlreichen Toten gekommen ist, nichts zu ändern. Die Befürchtungen des Beschwerdeführers hinsichtlich militärischer Interventionen umliegender Länder in das nordirakische Autonomiegebiet haben sich entsprechend der bereits damaligen Lageeinschätzung von BFM und Bundesverwaltungsgericht nicht bewahrheitet. Die Vorbringen des Beschwerdeführers betreffend die Sicherheitslage im Nordirak lassen demnach den Wegweisungsvollzug nicht als unzumutbar erscheinen.</w:t>
      </w:r>
    </w:p>
    <w:p>
      <w:r>
        <w:rPr>
          <w:b/>
        </w:rPr>
        <w:t>E. 8.3</w:t>
      </w:r>
    </w:p>
    <w:p>
      <w:r>
        <w:t>Beim Beschwerdeführer handelt es sich um einen 28-jährigen und - mangels gegenteiliger Anhaltspunkte oder Vorbringen - gesunden Mann. Er ist kurdischer Ethnie (vgl. A1, S. 2) und stammt aus der Provinz Dohuk, wo er von 1998 bis zur Ausreise zusammen mit seinen Eltern und Geschwistern wohnhaft war (vgl. A1, S. 1 f.). Die Feststellung in der angefochtenen Verfügung, wonach der Beschwerdeführer in seiner Heimatprovinz über ein soziales Beziehungsnetz verfügt, wird von diesem nicht bestritten, wenn auch von ihm geltend gemacht wird, seine Verwandten seien nicht in der Lage ihn in finanzieller Hinsicht zu unterstützen. Ferner kann den Akten sowie den Angaben des Beschwerdeführers entnommen werden, dass er in der Schweiz seit mehreren Jahren erwerbstätig ist und dabei Erfahrungen in verschiedenen Berufszweigen sammeln konnte. Unter diesen Umständen ist davon auszugehen, dass es ihm gelingen wird, sich in seiner Heimatregion eine wirtschaftliche Existenzgrundlage aufzubauen.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w:t>
      </w:r>
    </w:p>
    <w:p>
      <w:r>
        <w:rPr>
          <w:b/>
        </w:rPr>
        <w:t>E. 8.4</w:t>
      </w:r>
    </w:p>
    <w:p>
      <w:r>
        <w:t>Soweit der Beschwerdeführer auf seine Integrationsbemühungen in der Schweiz hinweist, ist festzuhalten, dass der Frage einer allfälligen Integration in der Schweiz - bei Erwachsenen - bei der Frage der Zumutbarkeit des Wegweisungsvollzugs in der Regel keine Bedeutung zukommen kann, mit der Revision des Asylgesetzes und dem Wegfall der Prüfung des Vorliegens einer schwerwiegenden persönlichen Notlage (Art. 44 Abs. 3 aAsylG) die entsprechende Rechtsprechung der Schweizerische Asylrekurskommission (ARK) im vorliegenden Zusammenhang hinfällig geworden ist. Im Übrigen ist darauf hinzuweisen, dass es nach heutigem Recht den Kantonen (vorliegend dem Kanton [...]) vorbehalten ist, mit Zustimmung des Bundesamtes einer ihnen nach Gesetz zugewiesenen Person eine Aufenthaltsbewilligung zu erteilen, wenn wegen der fortgeschrittenen Integration ein schwerwiegender persönlicher Härtefall vorliegt (Art. 14 Abs. 2 Bst. c AsylG).</w:t>
      </w:r>
    </w:p>
    <w:p>
      <w:r>
        <w:rPr>
          <w:b/>
        </w:rPr>
        <w:t>E. 8.5</w:t>
      </w:r>
    </w:p>
    <w:p>
      <w:r>
        <w:t>Gestützt auf diese Erwägungen ist zusammenfassend der Schluss zu ziehen, dass der Beschwerdeführer bei einer Rückkehr in die Provinz Dohuk keiner konkreten Gefährdung im Sinne von Art. 83 Abs. 4 AuG ausgesetzt sein wird. Der Vollzug der Wegweisung ist daher - übereinstimmend mit dem BFM - als zumutbar zu erachten.</w:t>
      </w:r>
    </w:p>
    <w:p>
      <w:r>
        <w:rPr>
          <w:b/>
        </w:rPr>
        <w:t>E. 8.6</w:t>
      </w:r>
    </w:p>
    <w:p>
      <w:r>
        <w:t>Schliesslich obliegt es dem Beschwerdeführer aufgrund seiner Mitwirkungspflicht,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ist festzustellen, dass das BFM die mit Verfügung vom 23. August 2006 angeordnete vorläufige Aufnahme des Beschwerdeführers zu Recht aufgehoben und den Wegweisungsvollzug verfügt hat. Es erübrigt sich, auf die weiteren Ausführungen in der Eingabe des Beschwerdeführers einzugehen, da sie an dieser Würdigung nichts zu ändern vermögen.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Mit verfahrensleitender Verfügung des damals zuständigen Instruktionsrichters vom 21. August 2008 wurde das Gesuch um Gewährung der unentgeltlichen Rechtspflege gemäss Art. 65 Abs. 1 VwVG auf einen späteren Zeitpunkt verschoben. Nachdem er gemäss Aktenlage über eine Ar­beitsstelle und gemäss eingereichtem Formular über ein genügendes Einkommen verfügt (vgl. SKOS-Richtlinien), kann er nicht als bedürftig angesehen wer­den, weshalb das Gesuch im Sinne von Art. 65 Abs. 1 VwVG abzuwei­sen ist.</w:t>
      </w:r>
    </w:p>
    <w:p>
      <w:r>
        <w:rPr>
          <w:b/>
        </w:rPr>
        <w:t>E. 10.2</w:t>
      </w:r>
    </w:p>
    <w:p>
      <w:r>
        <w:t>Bei diesem Ausgang des Verfahrens sind die Kosten in der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