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E-5177/2015 vom 12. Mai 2016</w:t>
      </w:r>
    </w:p>
    <w:p>
      <w:r>
        <w:t>Bundesverwaltungsgericht, 2016-05-12, DE</w:t>
      </w:r>
    </w:p>
    <w:p>
      <w:r>
        <w:rPr>
          <w:b/>
        </w:rPr>
        <w:t xml:space="preserve">Quelle: </w:t>
      </w:r>
      <w:r>
        <w:t>https://mcp.opencaselaw.ch/entscheid/bvger_E-5177_2015</w:t>
      </w:r>
    </w:p>
    <w:p>
      <w:r>
        <w:t>FR: TAF E-5177/2015 du 12 mai 2016</w:t>
      </w:r>
    </w:p>
    <w:p>
      <w:r>
        <w:t>IT: TAF E-5177/2015 del 12 maggio 2016</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für die Beurteilung der vorliegenden Beschwerde zuständig und entscheidet auf dem Gebiet des Asyls in der Regel - so auch vorliegend - endgültig (Art. 105 AsylG; Art. 83 Bst. d Ziff. 1 BGG).</w:t>
      </w:r>
    </w:p>
    <w:p>
      <w:r>
        <w:rPr>
          <w:b/>
        </w:rPr>
        <w:t>E. 1.2</w:t>
      </w:r>
    </w:p>
    <w:p>
      <w:r>
        <w:t>Das Verfahren richtet sich nach dem VwVG, soweit das VGG und das Asylgesetz nichts anderes bestimmen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mithin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Wie in der angefochtenen Verfügung erwähnt, verzichtete die Vorin-stanz - mit der Begründung, der Beschwerdeführer habe die Asylbehörden über den Ort der eigenen Sozialisation und mithin über die eigene Identität getäuscht - gestützt auf Art. 36 Abs. 1 Bst. a AsylG und mit Verweis auf das Urteil des Bundesverwaltungsgerichts D 6780/2014 vom 26. Mai 2015 auf eine eingehende Anhörung im Sinne von Art. 29 AsylG (vgl. Bst. D.c). Es stellt sich die Frage, ob dieses Vorgehen mit dem Gesetz und der einschlägigen Praxis des Bundesverwaltungsgerichts und seiner Vorgängerorganisation, der Schweizerischen Asylrekurskommission (ARK), im Einklang ist, was auf Beschwerdeebene - zumindest sinngemäss - in Frage gestellt wird.</w:t>
      </w:r>
    </w:p>
    <w:p>
      <w:r>
        <w:rPr>
          <w:b/>
        </w:rPr>
        <w:t>E. 3.2</w:t>
      </w:r>
    </w:p>
    <w:p>
      <w:r>
        <w:t>Seit dem 1. Februar 2014 ist eine revidierte, vorliegend anwendbare Fassung des Asylgesetzes (Änderung vom 14. Dezember 2012) in Kraft. Diese sieht bei feststehender Identitätstäuschung seitens der asylsuchenden Person kein Nichteintreten mehr vor (vgl. aArt. 32 Abs. 2 Bst. b AsylG), erlaubt es der Vorinstanz in einem solchen Fall aber, auf eine Anhörung im Sinne von Art. 29 AsylG zu verzichten (vgl. Art. 36 Abs. 1 Bst. a AsylG). Für die Auslegung des Begriffs der "feststehenden Identitätstäuschung" nach Art. 36 Abs. 1 Bst. a AsylG ist auf die Praxis zum entsprechenden, aufgehobenen Nichteintretensgrund gemäss aArt. 32 Abs. 2 Bst. b AsylG zu verweisen (vgl. Schweizerische Flüchtlingshilfe [SFH; Hrsg.], Handbuch zum Asyl- und Wegweisungsverfahren, 2. Aufl. 2015, S. 88; Florence Rouiller, in: Code annoté de droit des migrations, Volume IV: Loi sur l'asile (LAsi), 2015, Art. 36 N20-24, S. 307 ff.). Gemäss dieser Praxis ist der Nachweis der Identitätstäuschung von den schweizerischen Asylbehörden zu erbringen (vgl. Entscheidungen und Mitteilungen der ARK [EMARK] 2003 Nr. 27 E. 4a). Die gesetzliche Regelung sieht neben der erkennungsdienstlichen Behandlung (Daktyloanalyse) auch "andere Beweismittel" vor, aufgrund derer die Identitätstäuschung feststehen kann (vgl. Art. 36 Abs. 1 Bst. a AsylG; identisch formuliert waren die Voraussetzungen gemäss aArt. 32 Abs. 2 Bst. b AsylG); als "andere Beweismittel" kommen unter anderem namentlich die Erkenntnisse im Rahmen einer Lingua-Analyse in Frage (vgl. EMARK 1999 Nr. 19). Der Begriff der Identität ist in Art. 1a Bst. a der Asylverordnung 1 vom 11. August 1999 (AsylV 1, SR 142.311) geregelt und schliesst den Namen und den Vornamen, die Staatsangehörigkeit, die Ethnie, das Geburtsdatum, den Geburtsort und das Geschlecht einer asylsuchenden Person ein. Diese Aufzählung der Begriffsmerkmale der Identität ist abschliessend und umfasst weder den Herkunftsort, noch den Ort der Sozialisation einer betroffenen Person (vgl. EMARK 2001 Nr. 27 E. 5e; vgl. auch EMARK 2004 Nr. 4; vgl. zum Ganzen BVGE 2013/10 E. 9.1). Das von der Vorinstanz erwähnte Urteil D-6780/2014 vermag diese bisherige Rechtsprechung nicht zu entkräften.</w:t>
      </w:r>
    </w:p>
    <w:p>
      <w:r>
        <w:rPr>
          <w:b/>
        </w:rPr>
        <w:t>E. 3.3</w:t>
      </w:r>
    </w:p>
    <w:p>
      <w:r>
        <w:t>Wie aus der angefochtenen Verfügung und insbesondere auch aus der Lingua-Analyse selbst hervorgeht, gibt letztere Aufschluss über den Ort der Sozialisation des Beschwerdeführers, nicht aber über seinen Geburtsort oder seine Staatsangehörigkeit. Gemäss den Ausführungen in BVGE 2014/12 (E. 5.6-5.8) ist nämlich davon auszugehen, dass ein grosser Teil der in Nepal und Indien lebenden Exil-Tibeterinnen und Tibeter keine neue Staatsangehörigkeit erworben haben und somit nach wie vor die chinesische Staatsbürgerschaft besitzen. Folglich steht auch für jene Personen, denen eine Sozialisation in der Volksrepublik China gestützt auf ein Lingua-Gutachten nicht geglaubt werden kann, nicht fest, dass sie die schweizerischen Asylbehörden tatsächlich über ihre chinesische Staatsangehörigkeit getäuscht haben. Da mit der Lingua-Analyse vom 24. Juli 2014 somit lediglich eine Täuschung des Beschwerdeführers über den Ort seiner Hauptsozialisation belegt ist, die Sozialisation - wie in E. 3.2 erörtert - aber kein Merkmal der Identität im Sinne von Art. 1a Bst. a AsylV 1 darstellt, sind die Voraussetzungen einer feststehenden Identitätstäuschung gemäss Art. 36 Abs. 1 Bst. a AsylG vorliegend nicht erfüllt. Angesichts dessen hätte die Vorinstanz eine Anhörung im Sinne von Art. 29 AsylG durchführen müssen und verletzte durch den Verzicht darauf neben dem Untersuchungsgrundsatz (Art. 6 AsylG i.V.m. Art. 12 VwVG) auch den Anspruch des Beschwerdeführers auf rechtliches Gehör (Art. 29 VwVG und Art. 29 Abs. 2 BV).</w:t>
      </w:r>
    </w:p>
    <w:p>
      <w:r>
        <w:rPr>
          <w:b/>
        </w:rPr>
        <w:t>E. 4</w:t>
      </w:r>
    </w:p>
    <w:p>
      <w:r>
        <w:t>Gemäss Art. 61 Abs. 1 VwVG entscheidet das Bundesverwaltungsge­richt in der Sache selbst oder weist diese ausnahmsweise mit verbindli­chen Weisungen an die Vorinstanz zurück. Eine Kassation und Rückwei­sung an die Vorinstanz ist insbesondere angezeigt, wenn weitere Tatsa­chen festgestellt werden müssen und ein umfassendes Beweisverfahren durchzuführen ist. Die in diesen Fällen fehlende Entscheidungsreife kann grundsätzlich zwar auch durch die Beschwerdeinstanz selbst hergestellt werden, wenn dies im Einzelfall aus prozessökonomischen Gründen angebracht erscheint; sie muss dies aber nicht (vgl. BVGE 2012/21 E. 5). Wie in E. 3 dargelegt, hat die Vorinstanz zu Unrecht auf eine Anhörung gemäss Art. 29 AsylG verzichtet, weshalb dieser Verfahrensschritt nachzuholen ist. Da eine solche Anhörung den Rahmen des Beschwerdeverfahrens sprengen würde, ist es angezeigt, die Sache zu diesem Zweck sowie zur anschliessenden Neubeurteilung an die Vorinstanz zurückzuweisen.</w:t>
      </w:r>
    </w:p>
    <w:p>
      <w:r>
        <w:rPr>
          <w:b/>
        </w:rPr>
        <w:t>E. 5</w:t>
      </w:r>
    </w:p>
    <w:p>
      <w:r>
        <w:t>Die Beschwerde ist somit gutzuheissen, soweit die Aufhebung der angefochtenen Verfügung beantragt wird. Die Verfügung vom 28. Juli 2015 ist aufzuheben und die Sache in Anwendung von Art. 61 Abs. 1 in fine VwVG zur vollständigen und richtigen Sachverhaltsermittlung respektive zur rechtsgenüglichen Gewährung des rechtlichen Gehörs und zur Neubeurteilung im Sinne der Erwägungen an die Vorinstanz zurückzuweisen.</w:t>
      </w:r>
    </w:p>
    <w:p>
      <w:r>
        <w:rPr>
          <w:b/>
        </w:rPr>
        <w:t>E. 6</w:t>
      </w:r>
    </w:p>
    <w:p>
      <w:r>
        <w:t>Bei diesem Ausgang des Verfahrens sind keine Kosten zu erheben (Art. 63 Abs. 1 VwVG). Der ganz oder teilweise obsiegenden Partei kann von der Beschwerdeinstanz von Amtes wegen oder auf Begehren eine Entschädigung für ihr erwachsene notwendige und verhältnismässig hohe Kosten zugesprochen werden (Art. 64 Abs. 1 VwVG). Da der Beschwerdeführer im Beschwerdeverfahren nicht vertreten war, ist nicht ersichtlich, welche unverhältnismässig hohen Kosten ihm entstanden sein könnten, weshalb ihm keine Entschädigung zuzusprechen ist.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