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E-5175/2014 vom 25. September 2014</w:t>
      </w:r>
    </w:p>
    <w:p>
      <w:r>
        <w:t>Bundesverwaltungsgericht, 2014-09-25, DE</w:t>
      </w:r>
    </w:p>
    <w:p>
      <w:r>
        <w:rPr>
          <w:b/>
        </w:rPr>
        <w:t xml:space="preserve">Quelle: </w:t>
      </w:r>
      <w:r>
        <w:t>https://mcp.opencaselaw.ch/entscheid/bvger_E-5175_2014</w:t>
      </w:r>
    </w:p>
    <w:p>
      <w:r>
        <w:t>FR: TAF E-5175/2014 du 25 septembre 2014</w:t>
      </w:r>
    </w:p>
    <w:p>
      <w:r>
        <w:t>IT: TAF E-5175/2014 del 25 settembre 2014</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Anfechtungsobjekt ist nicht nur die Verfügung des BFM vom 15. August 2014 (Verfügung, mit welcher das BFM auf das Wiedererwägungsgesuch der Beschwerdeführerinnen mangels Bezahlung des Gebührenvorschusses nicht eintrat), sondern auch die erst mit dem Endentscheid anfechtbare Zwischenverfügung des BFM vom 30. Juli 2014, mit welcher es den Gebührenvorschuss mit der Begründung, das Wiedererwägungsgesuch sei aussichtslos, erhob (vgl. BVGE 2007/18 E. 4).</w:t>
      </w:r>
    </w:p>
    <w:p>
      <w:r>
        <w:rPr>
          <w:b/>
        </w:rPr>
        <w:t>E. 1.3</w:t>
      </w:r>
    </w:p>
    <w:p>
      <w:r>
        <w:t>Die Beschwerdefrist gegen Nichteintretensentscheide beträgt gemäss Art. 108 Abs. 2 AsylG fünf Arbeitstage seit Eröffnung der Verfügung. Zum Zeitpunkt der Beschwerdeerhebung wäre die Beschwerdefrist bereits abgelaufen. Indessen hatte das BFM die angefochtene Verfügung den Beschwerdeführerinnen mangelhaft eröffnet, indem es in seiner Rechtsmittelbelehrung anstatt der fünftägigen Beschwerdefrist eine Frist von 30 Tagen aufgeführt hatte. Aus einer unrichtigen Rechtsmittelbelehrung darf einer Partei kein Rechtsnachteil erwachsen, wenn sich jene in guten Treuen auf diese verlassen durfte (vgl. Art. 38 VwVG und Art. 5 Abs. 3 und Art. 9 BV). Nur derjenige kann sich auf die fehlerhafte Rechtsmittelbelehrung berufen, der die Unrichtigkeit nicht kennt und auch bei gebührender Aufmerksamkeit nicht hätte erkennen können, wobei jedoch nur grobe Fehler einer Partei oder ihres Vertreters dazu führen sollen, eine falsche Rechtsmittelbelehrung aufzuwiegen. Ein solcher Fehler wird namentlich dann bejaht und der Vertrauensschutz dementsprechend verneint, wenn eine Partei oder ihr Anwalt die Fehlerhaftigkeit der Rechtsmittelbelehrung durch Konsultierung des massgebenden Gesetzestextes hätte erkennen können (vgl. Lorenz Kneubühler in: Auer/Müller/Schindler [Hrsg.], VwVG, Kommentar zum Bundesgesetzt über das Verwaltungsverfahren, Zürich/St. Gallen 2008, Art. 38 Rz. 1, 4-7 und 18; vgl. BGE 135 III 377 E. 1.2.2 mit weiteren Hinweisen). Das BFM wies in der Rechtsmittelbelehrung mit dem Hinweis auf Art. 50 VwVG und Art. 105 AsylG fälschlicherweise auf die 30tägige Beschwerdefrist hin, ohne die spezialgesetzliche Regelung von Art. 108 Abs. 2 AsylG zu erwähnen. Mit dem Verweis des BFM auf die Verfahrensbestimmungen des VwVG wird der Anschein erweckt, hinsichtlich der vom BFM angegebenen Rechtsmittelfrist würden die Bestimmungen des VwVG zum Tragen kommen. Eine entsprechende Konsultation des VwVG würde ergeben, dass) eine 30tägige Beschwerdefrist gelte. Aufgrund dieser Sachlage ist davon auszugehen, die unvertretenen Beschwerdeführerinnen haben keine Kenntnis von der spezialgesetzlichen fünftägigen Beschwerdefrist besessen und sind durch die Angabe der falschen Rechtsmittelfrist in einen Irrtum versetzt worden, den sie auch bei grösserer Aufmerksamkeit nicht hätte vermeiden können, zumal nicht angenommen werden kann, die Beschwerdeführerinnen hätten als Laien unter den gegebenen Umständen die fehlerhafte Eröffnung des BFM erkennen können. Demzufolge kann die verspätete Eingabe der Beschwerdeführerinnen als begreifliche Folge der irrtümlichen Rechtsmittelbelehrung angesehen werden. Das BFM hat in der Rechtsmittelbelehrung aber 30 Tage angegeben. Die Beschwerde ist somit frist- und im Übrigen auch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einen Schriftenwechsel verzichtet.</w:t>
      </w:r>
    </w:p>
    <w:p>
      <w:r>
        <w:rPr>
          <w:b/>
        </w:rPr>
        <w:t>E. 5</w:t>
      </w:r>
    </w:p>
    <w:p>
      <w:r>
        <w:t>Das Wiedererwägungsverfahren ist im Asylrecht spezialgesetzlich geregelt (vgl. Art. 111b ff. AsylG). Ein entsprechendes Gesuch ist dem BFM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6</w:t>
      </w:r>
    </w:p>
    <w:p>
      <w:r>
        <w:t>Vorweg ist festzuhalten, dass vorliegend lediglich eine nachträglich wesentlich veränderte Sachlage geltend gemacht werden kann, Revisionsgründe angesichts des Urteils vom 1. Juli 2014 dagegen im Wiedererwägungsverfahren nicht gehört werden können. Weder im Wiedererwägungsgesuch noch auf Beschwerdeebene haben die Beschwerdeführerinnen auch nur ansatzweise dargelegt, inwiefern die geltend gemachte Behinderung der minderjährigen Beschwerdeführerin gegenüber der Lage zum Zeitpunkt des Urteils vom 1. Juli 2014 eine erhebliche Verschlechterung darstellen soll und, falls es sich um eine veränderte Sachlage handeln sollte, diese dahingehend erheblich ist, dass sie an der Feststellung, dass Deutschland seine völkerrechtlichen Verpflichtungen einhält, etwas ändern sollte. Revisionsgründe, appellatorische Kritik und Vorbringen zu den Asylgründen sind im vorliegenden Verfahren, bei dem es um eine Wiedererwägung eines Nichteintretensentscheids auf Asylgesuche geht, unbeachtlich. Nach dem Gesagten hat das BFM das Wiedererwägungsgesuch zu Recht als aussichtslos eingestuft und in Anwendung von Art. 111d Abs. 3 bst. a AsylG zu Recht einen Gebührenvorschuss erhoben. Dementsprechend ist es nach versäumter Frist auch zu Recht auf das Wiedererwägungsgesuch nicht eingetreten.</w:t>
      </w:r>
    </w:p>
    <w:p>
      <w:r>
        <w:rPr>
          <w:b/>
        </w:rPr>
        <w:t>E. 7</w:t>
      </w:r>
    </w:p>
    <w:p>
      <w:r>
        <w:t>Aus diesen Erwägungen ergibt sich, dass die angefochtenen Verfügungen Bundesrecht nicht verletzen und den rechtserheblichen Sachverhalt richtig und vollständig feststellt (Art. 106 Abs. 1 AsylG). Die Beschwerde ist abzuweisen.</w:t>
      </w:r>
    </w:p>
    <w:p>
      <w:r>
        <w:rPr>
          <w:b/>
        </w:rPr>
        <w:t>E. 8</w:t>
      </w:r>
    </w:p>
    <w:p>
      <w:r>
        <w:t>Bei diesem Ausgang des Verfahrens sind die Kosten den Beschwerdeführerinnen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