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E-5174/2007 vom 11. Juli 2011</w:t>
      </w:r>
    </w:p>
    <w:p>
      <w:r>
        <w:t>Bundesverwaltungsgericht, 2011-07-11, DE</w:t>
      </w:r>
    </w:p>
    <w:p>
      <w:r>
        <w:rPr>
          <w:b/>
        </w:rPr>
        <w:t xml:space="preserve">Quelle: </w:t>
      </w:r>
      <w:r>
        <w:t>https://mcp.opencaselaw.ch/entscheid/bvger_E-5174_2007</w:t>
      </w:r>
    </w:p>
    <w:p>
      <w:r>
        <w:t>FR: TAF E-5174/2007 du 11 juillet 2011</w:t>
      </w:r>
    </w:p>
    <w:p>
      <w:r>
        <w:t>IT: TAF E-5174/2007 del 11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Eine gesuchstellende Person, die sich in ihrem Heimatstaat be­findet, kann zwar verfolgt im Sinne von Art. 3 AsylG und demzufolge schutzbedürftig sein, um aber die Flüchtlingseigenschaft zu erfüllen, muss sie gemäss Art. 1A des Abkommens vom 28. Juli 1951 über die Rechtsstellung der Flüchtlinge (FK, SR 0.142.30) das Heimatland verlassen haben. Die Beschwerdeführerin befindet sich in ihrem Heimatstaat und erfüllt somit die Voraussetzung des Verlassens des Heimatlandes und damit die Flüchtlingseigenschaft nicht.</w:t>
      </w:r>
    </w:p>
    <w:p>
      <w:r>
        <w:rPr>
          <w:b/>
        </w:rPr>
        <w:t>E. 3.1</w:t>
      </w:r>
    </w:p>
    <w:p>
      <w:r>
        <w:t>Das Bundesamt bewilligt Asylsuchenden die Einreise in die Schweiz entweder zur Asylerteilung, wenn feststeht, dass diese die entsprechenden Voraussetzungen erfüllen, oder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wird und ob ihr der Verbleib am Aufenthaltsort für die Dauer der Sachverhaltsabklärungen zugemutet werden kann. Die Einreise wird verweigert, wenn eine Person in ihrem Heimat- oder Herkunftsstaat nicht in asylrelevanter Art und Weise gefährdet ist und mithin des Schutzes der Schweiz nicht bedarf. Nicht schutzbedürftig ist eine Person insbesondere dann, wenn sie über eine innerstaatliche Fluchtalternative im Sinne der Rechtsprechung verfügt (vgl. die vom Bundesverwaltungsgericht in BVGE 2007/31 E. 5.2 übernommene Rechtsprechung der Schweizerische Asylrekurskommission (ARK) in EMARK 1996 Nr. 1 E. 5b und c).</w:t>
      </w:r>
    </w:p>
    <w:p>
      <w:r>
        <w:rPr>
          <w:b/>
        </w:rPr>
        <w:t>E. 4</w:t>
      </w:r>
    </w:p>
    <w:p>
      <w:r>
        <w:t>Es ist zu prüfen, ob das BFM der Beschwerdeführerin zu Recht die Einreise in die Schweiz verweigert und ihr Asylgesuch abgelehnt hat, weil sie keiner Gefährdung im Sinne von Art. 3 Asyl ausgesetzt und damit nicht schutzbedürftig sei.</w:t>
      </w:r>
    </w:p>
    <w:p>
      <w:r>
        <w:rPr>
          <w:b/>
        </w:rPr>
        <w:t>E. 5.1</w:t>
      </w:r>
    </w:p>
    <w:p>
      <w:r>
        <w:t>Das BFM lehnte das Gesuch um Einreise und Asyl der Beschwerdeführerin mit dem Hinweis ab, ihr stehe eine innerstaatliche Fluchtalternative zu Verfügung, da sie insbesondere in den Grossraum Colombo ziehen könne.</w:t>
      </w:r>
    </w:p>
    <w:p>
      <w:r>
        <w:rPr>
          <w:b/>
        </w:rPr>
        <w:t>E. 5.2</w:t>
      </w:r>
    </w:p>
    <w:p>
      <w:r>
        <w:t>Die Beschwerdeführerin macht in ihrer Beschwerdeschrift Verfolgung durch unbekannte Personen geltend, bei denen es sich nach ihren Angaben um Mitglieder der Liberation Tigers of Tamil Eelam (LTTE) zu handeln scheint. Sie bringt vor, die LTTE hätten die Meldung der Landmine bei den staatlichen Behörden als Verrat betrachtet und bedrohten sie und ihren Sohn deshalb in anonymen Telefonanrufen mit dem Tod. Zudem sei ihr Ehemann seit dem 14. September 2006 verschwunden. Er sei vermutlich von den unbekannten Personen entführt worden. Die neue Regierung Sri Lankas habe zudem die Machenschaften unbekannter Gruppierungen nicht gestoppt, und sie habe in Sri Lanka keine Möglichkeit, ihr Leben zu schützen. Bezüglich der Angaben der Beschwerdeführerin in der Beschwerdeschrift ist festzustellen, dass sie im Verfahren vor der Vorinstanz mehrmals den 23. Dezember 2006 als den Tag angegeben hatte, an dem ihr Ehemann verschwunden sei, während sie in der Beschwerdeschrift diesbezüglich den 14. September 2006 nennt. Für die weitere Beurteilung der Rechtslage ist jedoch wie nachfolgend aufgezeigt weder das korrekte Datum von Bedeutung, noch die Tatsache, dass die Beschwerdeführerin diesbezüglich widersprüchliche Angaben machte.</w:t>
      </w:r>
    </w:p>
    <w:p>
      <w:r>
        <w:rPr>
          <w:b/>
        </w:rPr>
        <w:t>E. 6</w:t>
      </w:r>
    </w:p>
    <w:p>
      <w:r>
        <w:t>Vorab ist festzustellen, dass die Beschwerdeführerin seit ihrer Beschwerdeeingabe vom 23. Juli 2007 keine weiteren Eingaben beim Bundesverwaltungsgericht gemacht hat. Nach Art. 8 Abs. 1 AsylG sind Asylsuchende verpflichtet, an der Erstellung des Sachverhaltes mitzuwirken. Es hätte deshalb der Beschwerdeführerin oblegen, allfällige Änderungen ihrer Situation dem Bundesverwaltungsgericht zu melden respektive darzulegen, inwiefern sie in der heutigen veränderten Situation in Sri Lanka weiterhin bedroht ist. Da sie dies unterlassen hat, legt das Bundesverwaltungsgericht dem vorliegenden Entscheid die vorhandenen Akten und seine Kenntnisse der allgemeinen Sicherheits- und Menschenrechtslage in Sri Lanka zugrunde.</w:t>
      </w:r>
    </w:p>
    <w:p>
      <w:r>
        <w:rPr>
          <w:b/>
        </w:rPr>
        <w:t>E. 6.1</w:t>
      </w:r>
    </w:p>
    <w:p>
      <w:r>
        <w:t>Eine inländische Fluchtalternative besteht dann, wenn eine Person nicht auf dem gesamten Territorium ihres Heimat- oder Herkunftsstaates asylrelevanter Bedrohung ausgesetzt ist, sondern der Staat in gewissen Landesteilen in der Lage und willens ist, den betroffenen Personen wirksamen Schutz vor Verfolgung zu gewähren und die asylsuchende Person diese Landesteile erreichen kann. Unter diesen Umständen ist die betroffene Person nicht auf den in der Flüchtlings­konvention geregelten internationalen Schutz angewiesen, da sie die Möglichkeit hat, in einem anderen Teil ihres Heimat- oder Herkunftsstaates Schutz zu finden (EMARK 1996 Nr. 1 E. 5b).</w:t>
      </w:r>
    </w:p>
    <w:p>
      <w:r>
        <w:rPr>
          <w:b/>
        </w:rPr>
        <w:t>E. 6.2</w:t>
      </w:r>
    </w:p>
    <w:p>
      <w:r>
        <w:t>Zum Zeitpunkt des Erlasses der Verfügung des BFM - Mitte 2007 - herrschte im Norden und Osten Sri Lankas eine Situation allgemeiner Gewalt, und der srilankische Staat war weder in der Lage noch willens, dort tamilische Bürger vor Übergriffen der LTTE oder anderer nicht-staatlicher Gruppierungen zu schützen. Demgegenüber war die allgemeine Sicherheits- und Menschenrechtslage in Colombo für Angehörige der tamilischen Ethnie zwar schwierig und durch staatliche Einschränkungen geprägt, jedoch war der Staat grundsätzlich in der Lage und willens, tamilische Personen in diesem Gebiet vor Übergriffen der LTTE zu schützen. Deshalb ist dem BFM zuzustimmen, wenn es in seiner Verfügung feststellt, dass die Beschwerdeführerin im Grossraum Colombo eine innerstaatliche Fluchtalternative habe und deshalb nicht schutzbedürftig im Sinne von Art. 3 AsylG sei.</w:t>
      </w:r>
    </w:p>
    <w:p>
      <w:r>
        <w:rPr>
          <w:b/>
        </w:rPr>
        <w:t>E. 6.3</w:t>
      </w:r>
    </w:p>
    <w:p>
      <w:r>
        <w:t>Dies trifft auch heute noch zu. Das Bundesverwaltungsgericht hat in seinen Entscheidungen auf die im Zeitpunkt seines Entscheides bestehende Situation abzustellen. Die Sicherheits- und Menschenrechtslage hat sich in Sri Lanka seit dem Ende des Bürgerkrieges im Mai 2009 erheblich verbessert. Insbesondere die Akti­vitäten der paramilitärischen Gruppierungen haben stark abgenommen. Auch wenn die Lage noch nicht befriedigend ist und die Regierung teil­weise rücksichtslos gegen politische Gegner vorgeht, hat sich die Situa­tion seit dem Untergang der LTTE im ganzen Land beruhigt. Die LTTE sind heute nicht mehr in der Lage, Personen landesweit zu verfolgen, und die staatlichen Behörden sind grundsätzlich in der Lage und willens, tamilische Staatsangehörige vor Übergriffen nichtstaatlicher Gruppierungen zu schützen. Da die Be­schwerdeführerin nicht politisch aktiv war oder sich in irgendeiner Weise exponiert hätte, die sie einer Verfolgungsgefahr aussetzen könnte, und da sie eigenen Angaben zufolge mit den Behörden keine Probleme gehabt habe und zudem nicht vorgebracht hat, inwiefern sie zum jetzigen Zeitpunkt besonders gefährdet sei, kann davon ausgegangen werden, dass sie nicht schutzbedürftig im Sinne von Art. 3 AsylG ist.</w:t>
      </w:r>
    </w:p>
    <w:p>
      <w:r>
        <w:rPr>
          <w:b/>
        </w:rPr>
        <w:t>E. 7</w:t>
      </w:r>
    </w:p>
    <w:p>
      <w:r>
        <w:t>Zusammenfassend hat das BFM das Gesuch um Einreise und Asyl zu Recht abge­lehnt, da die Schutzbedürftigkeit der Beschwerdeführerin im Sinne von Art. 20 i.V.m. Art. 3 AsylG nicht gegeben ist. Die Verfügung der Vorinstanz ist zu bestätigen.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und 5 VwVG). Aus verwaltungsökonomischen Gründen ist vorliegend in Anwendung von Art. 63 Abs. 1 letzter Satz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