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E-5173/2010 vom 15. Januar 2013</w:t>
      </w:r>
    </w:p>
    <w:p>
      <w:r>
        <w:t>Bundesverwaltungsgericht, 2013-01-15, DE</w:t>
      </w:r>
    </w:p>
    <w:p>
      <w:r>
        <w:rPr>
          <w:b/>
        </w:rPr>
        <w:t xml:space="preserve">Quelle: </w:t>
      </w:r>
      <w:r>
        <w:t>https://mcp.opencaselaw.ch/entscheid/bvger_E-5173_2010</w:t>
      </w:r>
    </w:p>
    <w:p>
      <w:r>
        <w:t>FR: TAF E-5173/2010 du 15 janvier 2013</w:t>
      </w:r>
    </w:p>
    <w:p>
      <w:r>
        <w:t>IT: TAF E-5173/2010 del 15 gennaio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Auf die Beschwerde ist einzutreten (vgl.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Nachdem die Vorinstanz den Anspruch der Beschwerdeführerin auf Behandlung des Wiederwägungsgesuchs nicht in Abrede gestellt hat und darauf eingetreten ist, hat das Bundesverwaltungsgericht zu prüfen, ob sie das Gesuch zu Recht abgewiesen hat.</w:t>
      </w:r>
    </w:p>
    <w:p>
      <w:r>
        <w:rPr>
          <w:b/>
        </w:rPr>
        <w:t>E. 4</w:t>
      </w:r>
    </w:p>
    <w:p>
      <w:r>
        <w:t>In der Rechtsmitteleingabe wird beantragt, es sei aufgrund einer drohenden Verletzung der EMRK gemäss Art. 3 Abs. 2 Dublin-II-VO auf das Asylgesuch der Beschwerdeführerin einzutreten. Es wird geltend gemacht und ist zu prüfen, ob eine seit dem Urteil des Bundesverwaltungsgerichts vom 28. Juli 2009 eingetretene, wesentlich veränderte Sachlage vorliegt. Die Beschwerdeführerin erblickt eine solche in ihrem Eheschluss mit einem in der Schweiz vor über zehn Jahren vorläufig aufgenommenen Landsmann. 5.1 Bei Beschwerden gegen Nichteintretensentscheide, mit denen es das BFM ablehnt, das Asylgesuch auf seine Begründetheit zu überprüfen (Art. 32-35a AsylG), ist die Beurteilungskompetenz der Beschwerdeinstanz grundsätzlich auf die Frage beschränkt, ob die Vorinstanz zu Recht auf das Asylgesuch nicht eingetreten ist (vgl. BVGE 2007/8 E. 2.1). Qualifiziert die Beschwerdeinstanz den Nichteintretensentscheid als unrechtmässig, enthält sie sich einer materiellen Prüfung der Asylgründe und weist die Sache zur neuen Entscheidfindung an die Vorinstanz zurück. 5.2 Auf Asylgesuche wird in der Regel nicht eingetreten, wenn Asylsuchende in einen Drittstaat ausreisen können, der für die Durchführung des Asyl- und Wegweisungsverfahrens staatsvertraglich zuständig ist (Art. 34 Abs. 2 Bst. d AsylG).</w:t>
      </w:r>
    </w:p>
    <w:p>
      <w:r>
        <w:rPr>
          <w:b/>
        </w:rPr>
        <w:t>E. 6.1</w:t>
      </w:r>
    </w:p>
    <w:p>
      <w:r>
        <w:t>In der Be­gründung der angefochtenen Verfügung erkannte das BFM zunächst die neu geltend gemachte Ver­gewaltigung als unbeachtlich unter dem Aspekt des Nichteintretens­tatbestandes von Art. 34 Abs. 2 Bst. d AsylG. Weiter begründete es seine negative Verfügung damit, dass es sich bei Art. 3 Abs. 2 Dublin-II-VO um eine Kann-Bestimmung handle und es somit keinerlei völkerrechtliche Verpflichtungen zum Selbsteintritt gebe. Es bleibe grundsätzlich dem innerstaatlichen Recht oder dem Ermessen der Behörden anheimgestellt, in welchen Fällen selbst eingetreten werde. Bezüglich der nachträglich erfolgten Heirat der Beschwerdeführerin sei festzuhalten, dass gemäss Art. 8 EMRK zwar grundsätzlich ein Recht auf Einheit der Familie bestehe, diesbezüglich jedoch auf das Urteil des Bundesverwaltungsgerichts vom 28. Juli 2009 verwiesen werden könne, welches die vom BFM verfügte Wegweisung nach Grossbritannien mit Verweis auf das Asyl- beziehungsweise Ausländergesetz be-stätigt habe. Sodann seien keine Anhaltspunkte ersichtlich, wonach Grossbritannien seinen rechtsstaatlichen und völker­rechtlichen Verpflichtungen nicht nachkommen würde. Schliesslich begründe die (mit einem Arztzeugnis vom 6. Mai 2009 belegte) Suizidalität gemäss Praxis des EGMR keine Unzumutbarkeit des Wegweisungs­vollzuges, wenn - wie vorliegend - konkrete Verhütungs- und Weiter­behandlungsmassnahmen gewährleistet seien. Ergänzend machte das BFM die Beschwerdeführerin darauf aufmerksam, dass sie sich in Grossbritannien aufhalten könne, bis die Familiennachzugsvoraus­setzungen in der Schweiz erfüllt seien.</w:t>
      </w:r>
    </w:p>
    <w:p>
      <w:r>
        <w:rPr>
          <w:b/>
        </w:rPr>
        <w:t>E. 6.2</w:t>
      </w:r>
    </w:p>
    <w:p>
      <w:r>
        <w:t>In der Beschwerde wird zunächst auf eine falsche, um ein Jahr verspätete Datierung der Verfügung vom 6. April 2009 aufmerksam gemacht. Sodann wird weiter ausgeführt, die sechs­monatige Rücküberstellungsfrist sei inzwischen abgelaufen. Im Weiteren wurde die bloss oberflächliche Auseinandersetzung des BFM mit der neuen, nach Ergehen des Nichteintretensentscheides vom 6. April 2009 hinzugetretenen Tatsache der erfolgten Heirat kritisiert. Das Bundesamt begnüge sich mit dem Hinweis auf das Urteil vom 28. Juli 2009, in welchem das Bundesverwaltungsgericht den in­folge Fürsorgeabhängigkeit und trotz allfälliger Heirat fehlenden An­spruch auf eine ausländerrechtliche Aufenthaltsbewilligung erkannt habe. Dazu müsse allerdings erwähnt werden, dass im vorliegenden Fall von einer Verletzung von Art. 8 Abs. 2 BV und Art. 8 EMRK auszugehen sei. Die Invalidenversicherung verweigere die Auszahlung einer Rente an den Ehemann mit der Konsequenz, dass dieser wohl zeitlebens fürsorgeabhängig und ohne Aussicht auf eine Aufenthaltsbewilligung sein werde, womit er aufgrund der Praxis der Behörden nie einen Anspruch auf Familiennachzug erhalten könne. Der Schutz­bereich von Art. 8 EMRK umfasse jedoch gemäss der Rechtsprechung des Europäischen Gerichtshofes für Menschenrechte auch Personen mit einem "langen" und damit gesicherten Aufenthalt im Gastland. Dies treffe auf den Ehemann der Beschwerdeführerin zu. Zur Vermeidung eines klaren Verstosses gegen die Menschenrechte sei die Vorinstanz somit gehalten, das Recht auf Selbsteintritt aus humanitären Gründen auszuüben. Ergänzend wird auf ihre Suizidgefährdung aufmerksam gemacht, welche die Anordnung einer vorsorglichen Massnahme erforderlich mache.</w:t>
      </w:r>
    </w:p>
    <w:p>
      <w:r>
        <w:rPr>
          <w:b/>
        </w:rPr>
        <w:t>E. 7.1</w:t>
      </w:r>
    </w:p>
    <w:p>
      <w:r>
        <w:t>Das Bundesverwaltungsgericht stellt zunächst fest, dass die Vor­instanz das im Wiedererwägungsgesuch ausdrücklich gestellte Ge­such um Gewährung aufschiebender Wirkung beziehungsweise um Anordnung vollzugs­hemmender vorsorglicher Massnahmen auch nach Wiederaufnahme des erstinstanzlichen Wiedererwägungsverfahrens un­beantwortet beliess, obwohl dieser Mangel bereits im Urteil vom 25. Januar 2010 gerügt worden war (vgl. dort E. 4). Das Gericht hielt zwar fest, dass die zuvor mit Zwischenver­fügung vom 5. Januar 2010 angeordnete vollzugshemmende vorsorgliche Massnahme "bis zu einer anders lautenden Anordnung des BFM im Rahmen des wieder aufzunehmenden Wiedererwägungsverfahrens" in Kraft bleibe, jedoch deklarierte es diese Massnahme ausdrücklich als "einstweilig" und "zur Vermeidung einer intertemporalen Rechtsunsicherheit" (vgl. a.a.O. E. 7 und Dispositiv Ziff. 3). Der Beschwerdeführerin ist dadurch immerhin kein Rechtsnachteil erwachsen, da sie sich auf diese einst­weilige Massnahme bis zum Ergehen der angefochtenen Verfügung berufen konnte und anschliessend bis zur neuerlichen superprovi­sorischen Massnahme vom 19. Juli 2010 keine Vollzugshand­lungen vorgenommen wurden.</w:t>
      </w:r>
    </w:p>
    <w:p>
      <w:r>
        <w:rPr>
          <w:b/>
        </w:rPr>
        <w:t>E. 7.2</w:t>
      </w:r>
    </w:p>
    <w:p>
      <w:r>
        <w:t>Ferner erkennt das Bundesverwaltungsgericht in der Falschan­gabe des Verfügungsdatums in Ziffer 2 des Dispositivs der an­gefochtenen Verfügung ("6. April 2010" statt 6. April 2009) ein offensichtliches Redaktionsversehen, zumal sowohl im prozess­geschichtlichen Teil der Verfügung als auch in der Ent­scheidbegründung bereits mehrfach und übereinstimmend vom 6. April 2009 die Rede ist. Im Weiteren kann die Rüge des Rechtsvertreters, die "maximale Frist" sei am 3. März 2010 abgelaufen, nicht gehört werden, da die Überstellungsfrist jeweils durch die Aussetzung des Vollzugs unterbrochen wurde (Art. 19 Abs. 3 Dublin-II-VO) und somit nicht abgelaufen ist. Es ist nicht klar, aufgrund welcher Berechnung beziehungsweise welcher gesetzlichen Bestimmung der Rechtsvertreter die Frist als am 3. März 2010 abgelaufen vermutet, zumal die Dublin-II-Verordnung keine "Maximalfrist" für eine Überstellung kennt. An der grundsätzlichen Zuständigkeit Grossbritanniens zur Durchführung des Asylverfahrens bestehen keine Zweifel. Grossbritannien hat denn auch einer Übernahme der Beschwerdeführerin nach Art. 16 Abs. 1 Bst. e Dublin-II-VO zugestimmt.</w:t>
      </w:r>
    </w:p>
    <w:p>
      <w:r>
        <w:rPr>
          <w:b/>
        </w:rPr>
        <w:t>E. 7.3</w:t>
      </w:r>
    </w:p>
    <w:p>
      <w:r>
        <w:t>Mit gewissem Erstaunen nimmt das Bundesverwaltungsgericht hingegen die Tatsache zur Kenntnis, dass das BFM gestützt auf Art. 29 AsylG eine Anhörung der Beschwerdeführerin zu deren Asylgründen durchgeführt hat, zumal eine solche Massnahme ihrem Titel ent­sprechend eine wesentliche Abklärungsmassnahme im Rahmen eines ordentlichen Asylverfahrens darstellt. Die Durchführung einer solchen Anhörung ist im Rahmen eines Wiedererwägungsverfahrens eigentlich sachfremd, dies im Gegensatz zu einem (ersten oder allenfalls multiplen) erstinstanzlichen Asylver­fahren. Das BFM erkannte denn auch die in besagter Anhörung geltend gemachte Vergewaltigung zutreffenderweise als unbeachtlich, zumal es sich bei der angefochtenen Verfügung um einen Nichteintretensentscheid handelt.</w:t>
      </w:r>
    </w:p>
    <w:p>
      <w:r>
        <w:rPr>
          <w:b/>
        </w:rPr>
        <w:t>E. 7.4</w:t>
      </w:r>
    </w:p>
    <w:p>
      <w:r>
        <w:t>In der Rechtsmitteleingabe wird beantragt, das BFM sei anzuweisen, gemäss Art. 3 Abs. 2 Dublin-II-VO auf das Asylgesuch der Beschwerdeführerin einzutreten und von einer Wegweisung nach Grossbritannien abzusehen.</w:t>
      </w:r>
    </w:p>
    <w:p>
      <w:r>
        <w:rPr>
          <w:b/>
        </w:rPr>
        <w:t>E. 7.4.1</w:t>
      </w:r>
    </w:p>
    <w:p>
      <w:r>
        <w:t>Nach Art. 3 Abs. 2 Dublin-II-VO kann die Schweiz ein Asylgesuch materiell prüfen, auch wenn nach den in der Verordnung vorgesehenen Kriterien ein anderer Staat zuständig ist (sog. Selbsteintrittsrecht). Diese Bestimmung ist nicht direkt anwendbar, sondern kann nur in Verbindung mit einer anderen Norm des nationalen oder internationalen Rechts angerufen werden (BVGE 2010/45 E. 5). Art. 29a Abs. 3 AsylV 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(a.a.O. E. 8.2.2.). Droht hingegen ein Verstoss gegen übergeordnetes Recht, zum Beispiel gegen eine Norm des Völkerrechts, so besteht ein einklagbarer Anspruch auf Ausübung des Selbsteintrittsrechts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EMRK, des Internationalen Paktes über bürgerliche und politische Rechte (UNO-Pakt II, SR 0.103.2), des Übereinkommens vom 10. Dezember 1984 gegen Folter und andere grausame, unmenschliche oder erniedrigende Behandlung oder Strafe (FoK, SR 0.105).</w:t>
      </w:r>
    </w:p>
    <w:p>
      <w:r>
        <w:rPr>
          <w:b/>
        </w:rPr>
        <w:t>E. 7.4.2</w:t>
      </w:r>
    </w:p>
    <w:p>
      <w:r>
        <w:t>Die Beschwerdeführerin ist seit dem 14. August 2009 mit einem in der Schweiz vorläufig aufgenommenen Landsmann verheiratet und lebt seither mit diesem zusammen. Nachdem sie nun seit über drei Jahren mit ihrem Ehemann zusammenlebt, ist von einer stabilen ehelichen Beziehung auszugehen. Eine solche lag zum Zeitpunkt der ursprünglichen Verfügung der Vorinstanz vom 6. April 2009 sowie zum Zeitpunkt des Urteils des Bundesverwaltungsgerichts vom 28. Juli 2009 nicht vor. Aufgrund dieser mehrjährigen ehelichen Beziehung ist somit von einer wesentlich veränderten Sachlage gegenüber der Verfügung vom 6. April 2009 auszugehen.</w:t>
      </w:r>
    </w:p>
    <w:p>
      <w:r>
        <w:rPr>
          <w:b/>
        </w:rPr>
        <w:t>E. 7.4.3</w:t>
      </w:r>
    </w:p>
    <w:p>
      <w:r>
        <w:t>Die Beschwerdeführerin macht geltend, auf ihr Asylgesuch müsse gemäss Art. 3 Abs. 2 Dublin-II-VO i.V.m. Art. 8 EMRK eingetreten werden. Gemäss bundesgerichtlicher Rechtsprechung kann sich eine Person auf den Schutz des Familienlebens nach Art. 8 EMRK berufen, wenn eine Beziehung zu einer Person mit gefestigtem Anwesenheitsrecht (Bürgerrecht oder Niederlassungsbewilligung) in der Schweiz besteht, wobei eine blosse Aufenthaltsbewilligung hierzu nur genügt, soweit diese auf einem gefestigten Rechtsanspruch beruht (vgl. statt vieler BGE 130 II 281, 135 I 143, jeweils mit weiteren Hinweisen). Das Bundesgericht hat es abgelehnt, von einer bestimmten Aufenthaltsdauer an schematisierend eine solche besondere, einen Anspruch auf die Erteilung eines Anwesenheitsrechts begründende Verwurzelung in den hiesigen Verhältnissen anzunehmen (vgl. BGE 130 II 281 E. 3.2.1 S. 286f.). Im Rahmen von Art. 8 EMRK ist eine umfassende Interessen- und Rechtsgüterabwägung vorzunehmen, wobei die Anwesenheitsdauer ein Element unter anderen bildet und dem Umstand Rechnung zu tragen ist, dass - besondere Bestimmungen vorbehalten - eine Niederlassungsbewilligung in der Regel nach zehn Jahren Aufenthalt erteilt wird und ein Gesuch um Einbürgerung grundsätzlich nach zwölf Jahren möglich ist (vgl. BGE 130 II 281, E. 3.2.1). Weiter ist zu erwähnen, dass der Europäische Gerichtshof für Menschenrechte (EGMR) in seinen Urteilen Agraw gegen die Schweiz und Mengesha Kimfe gegen die Schweiz (beide vom 29. Juli 2010) feststellte, die Rechtmässigkeit eines Eingriffes in das Privat- oder Familienleben einer Person sei auch ohne Vorliegen eines gefestigten oder dauerhaften Anwesenheitsrechtes zu prüfen. Es handelte sich in den genannten Fällen um abgelehnte Asylsuchende, deren Wegweisung jedoch über längere Zeit nicht vollzogen werden konnte. Die Verweigerung der Bewilligung zum Wechsel in den Kanton des Ehepartners würde ein eheliches Zusammenleben somit über Jahre hinweg verunmöglichen, zumal die betroffenen Personen auch nicht in einem anderen Land hätten zusammenleben können. Der EGMR erklärte Art. 8 EMRK für anwendbar und eine potentiell langfristige Trennung für rechtswidrig. Er machte hier deutlich, dass eine Familientrennung in einer solchen Konstellation nicht zulässig ist. Der Ehemann der Beschwerdeführerin verfügt zwar lediglich über eine vorläufige Aufnahme, hält sich jedoch seit über 14 Jahren in der Schweiz auf. Ferner ist zu beachten, dass er aus medizinischen Gründen - er erlitt am (...) 1999 in der Schweiz (...) - vorläufig aufgenommen wurde und nicht absehbar ist, dass sich seine gesundheitliche Situation verbessert. Unter diesen Umständen ist de facto wohl kaum davon auszugehen, dass die Wegweisung nach Sri Lanka in absehbarer Zukunft vollzogen wird. Ausserdem ist zu bemerken, dass die gesundheitlichen Probleme des Ehemannes ihn daran hindern, seinen Aufenthaltsstatus zu verbessern. Es kann bei ihm somit trotz des Status der vorläufigen Aufnahme von einem faktisch gesicherten Anwesenheitsrecht ausgegangen werden, weshalb die Anwendung von Art. 8 EMRK in diesem speziellen Ausnahmefall als angebracht erscheint. In diesem Zusammenhang ist überdies zu berücksichtigen, dass im Kontext der Dublin-II-VO der Wahrung der Einheit der Familie grosses Gewicht zukommt, was sich unter anderem im 6. Erwägungsgrund der Verordnung niederschlägt. Würde in vorliegendem Fall nicht vom Selbsteintrittsrecht gemäss Art. 3 Abs. 2 Dublin-II-VO Gebrauch gemacht, würde dies faktisch zu einer Familientrennung und somit zu einer Verletzung von Art. 8 EMRK führen. Für die Schweiz besteht deshalb vorliegend eine völkerrechtliche Pflicht, von ihrem Recht auf Selbsteintritt nach Art. 3 Abs. 2 Dublin-II-VO Gebrauch zu machen.</w:t>
      </w:r>
    </w:p>
    <w:p>
      <w:r>
        <w:rPr>
          <w:b/>
        </w:rPr>
        <w:t>E. 8</w:t>
      </w:r>
    </w:p>
    <w:p>
      <w:r>
        <w:t>Die Beschwerde ist gutzuheissen, die Verfügung des BFM vom 14. Juli 2010 und entsprechend diejenige vom 6. April 2009 sind aufzuheben und das BFM ist anzuweisen, vom Selbsteintrittsrecht nach Art. 3 Abs. 2 Dublin-II-VO (i.V.m. Art. 8 EMRK) Gebrauch zu machen. 9.1 Bei diesem Ausgang des Verfahrens sind keine Verfahrenskosten aufzuerlegen (Art. 63 Abs. 1 und 2 VwVG). 9.2 Der Beschwerdeführerin ist angesichts ihres Obsiegens im Beschwerdeverfahren in Anwendung von Art. 64 Abs. 1 VwVG eine Parteientschädigung für die ihr erwachsenen Vertretungskosten zuzusprechen (vgl. Art. 7 des Reglements vom 21. Februar 2008 über die Kosten und Entschädigungen vor dem Bundesverwaltungsgericht [VGKE, SR 173.320.2]). Der Rechtsvertreter hat keine Kostennote zu den Akten gereicht. Da sich der notwendige Vertretungsaufwand aufgrund der Aktenlage zuverlässig abschätzen lässt, kann auf die Einholung einer solchen jedoch verzichtet werden (Art. 14 Abs. 2 in fine VGKE). Der notwendige Aufwand wird gestützt auf die in Betracht zu ziehenden Bemessungsfaktoren (Art. 7 ff. VGKE) auf insgesamt Fr. 900.- (inkl. Auslagen) geschätzt. Dieser Betrag ist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