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E-5171/2023 vom 2. Oktober 2023</w:t>
      </w:r>
    </w:p>
    <w:p>
      <w:r>
        <w:t>Bundesverwaltungsgericht, 2023-10-02, DE</w:t>
      </w:r>
    </w:p>
    <w:p>
      <w:r>
        <w:rPr>
          <w:b/>
        </w:rPr>
        <w:t xml:space="preserve">Quelle: </w:t>
      </w:r>
      <w:r>
        <w:t>https://mcp.opencaselaw.ch/entscheid/bvger_E-5171_2023</w:t>
      </w:r>
    </w:p>
    <w:p>
      <w:r>
        <w:t>FR: TAF E-5171/2023 du 2 octobre 2023</w:t>
      </w:r>
    </w:p>
    <w:p>
      <w:r>
        <w:t>IT: TAF E-5171/2023 del 2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Die Beschwerde wurde frist- und formgerecht eingereicht (Art. 108 Abs. 3 AsylG und Art. 52 Abs. 1 VwVG) und die Beschwerdeführenden sind zur Beschwerde legitimiert (Art. 48 Abs. 1 VwVG).</w:t>
      </w:r>
    </w:p>
    <w:p>
      <w:r>
        <w:rPr>
          <w:b/>
        </w:rPr>
        <w:t>E. 1.2</w:t>
      </w:r>
    </w:p>
    <w:p>
      <w:r>
        <w:t>Soweit die Beschwerdeführenden eventualiter beantragen, es sei die Unzulässigkeit und Unzumutbarkeit der Wegweisung (richtig: des Wegweisungsvollzugs) festzustellen (Beschwerdebegehren 3), ist auf ihre Beschwerde nicht einzutreten. Im Übrigen ist auf die Beschwerde einzutreten.</w:t>
      </w:r>
    </w:p>
    <w:p>
      <w:r>
        <w:rPr>
          <w:b/>
        </w:rPr>
        <w:t>E. 1.3</w:t>
      </w:r>
    </w:p>
    <w:p>
      <w:r>
        <w:t>Das Verfahren richtet sich nach dem VwVG, dem VGG und dem BGG, soweit das AsylG nichts anderes bestimmt (Art. 37 VGG und Art. 6 AsylG).</w:t>
      </w:r>
    </w:p>
    <w:p>
      <w:r>
        <w:rPr>
          <w:b/>
        </w:rPr>
        <w:t>E. 2</w:t>
      </w:r>
    </w:p>
    <w:p>
      <w:r>
        <w:t>Über offensichtlich unbegründete Beschwerden - wie die vorliegende - wird in einzelrichterlicher Zuständigkeit mit Zustimmung eines zweiten Richters beziehungsweise einer zweiten Richterin entschieden (vgl. Art. 111 Bst. e AsylG). Der Beschwerdeentscheid ist nur summarisch zu begründen (Art. 111a Abs. 2 AsylG). Auf einen Schriftenwechsel wurde in Anwendung von Art. 111a Abs. 1 AsylG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Die Beschwerdeführenden haben am 3. Juli 2023 in Kroatien ein Asylgesuch eingereicht. Die kroatischen Behörden stimmten am 17. August 2023 innerhalb der massgeblichen Frist von Art. 25 Dublin-III-VO der Übernahme der Beschwerdeführenden- ausgenommen bezüglich des Sohnes D._______ - zu. Betreffend den Sohn D._______ liegt keine ausdrückliche Zustimmung vor. Gestützt auf Art. 25 Abs. 2 Dublin-III-VO ist aber von einer impliziten Zustimmung auszugehen. Die Zuständigkeit Kroatiens zur Prüfung der Asylgesuche der Beschwerdeführenden steht somit grundsätzlich fest.</w:t>
      </w:r>
    </w:p>
    <w:p>
      <w:r>
        <w:rPr>
          <w:b/>
        </w:rPr>
        <w:t>E. 4.1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4.2</w:t>
      </w:r>
    </w:p>
    <w:p>
      <w:r>
        <w:t>Mit ausführlicher und zutreffender Begründung verneint das SEM in der angefochtenen Verfügung systematische Schwachstellen im kroatischen Asylsystem. Darauf kann verwiesen werden. Diese Annahme wird im Referenzurteil des BVGer E-1488/2020 vom 22. März 2023 bestätigt, wonach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 Diese Einschätzung wurde seither in zahlreichen Urteilen des BVGer bestätigt (vgl. u.a. Urteile des BVGer E-3994/2023 vom 27. Juli 2023 E. 8.3; E-521/2023 vom 21. Juli 2023 E. 8.5; E-3851/2023 vom 14. Juli 2023 E. 7.3). Der mit der Beschwerde eingereichte Bericht von «Solidarité sans frontières» vermag an dieser Einschätzung nichts zu ändern.</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5.2.1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Das Bundesverwaltungsgericht hat sich im schon erwähnten Referenzurteil E-1488/2020 vom 22. März 2023 umfassend mit den Vorhalten auseinandergesetzt, die schon seit einigen Jahren und auch von verschiedener Seite gegenüber dem Dublin-Vertragsstaat Kroatien erhoben werden. Diese Vorhalte - auf welche auch in der Beschwerde, insbesondere mit Verweis auf den eingereichten Bericht von «Solidarité sans frontières», Bezug genommen wird - betreffen vornehmlich das Verhalten von Angehörigen der kroatischen Grenz- und Polizeibehörden gegenüber Migrantinnen und Migranten, die an den Grenzen und im Grenzgebiet zu Bosnien und Herzegowina sowie zu Serbien (Schengen-Aussengrenzen) angehalten werden. Dabei wurde ausgeführt, dass es mit sehr hoher Wahrscheinlichkeit zu Abweisungen direkt an der Grenze und zu unzulässigen Push-Backs komme, wie auch zu exzessiver Gewaltanwendung gegenüber Asylsuchenden, für welche sich dann oftmals der Zugang zum kroatischen Asylverfahren auch als unverhältnismässig schwierig erweise (vgl. ebd., E. 9.1-9.3 und E. 9.3.5). Im Referenzurteil wird aufgrund der Berichtslage aber ebenso festgestellt, dass sich die Sachlage massgeblich anders darstelle, wenn Asylsuchende gestützt auf die Dublin-III-VO nach Kroatien überstellt würden, zumal sich keine bestätigten Hinweise dafür finden liessen, dass im Rahmen von Dublin-Verfahren Rücküberstellte trotz bekundetem Willen, sich dem Verfahren in Kroatien zu unterziehen, in unzulässiger Weise abgeschoben würden; es gibt keine Berichte beziehungsweise dokumentierte Fälle, aus welchen sich etwas anderes ergeben würde (vgl. ebd., E. 9.4.1 und 9.4.4). Vor diesem Hintergrund gelangt das Bundesverwaltungsgericht zum Schluss, dass Gesuchstellende, die - wie die Beschwerdeführenden - gestützt auf die Dublin-III-VO nach Kroatien überstellt werden, Zugang zum dortigen Asylverfahren erhalten, und zwar unbesehen davon, ob sie im Rahmen eines "Take-Charge" (Aufnahme-) oder "Take-Back" (Wiederaufnahme-) Verfahrens überstellt werden. Gemäss dem Referenzurteil ist daher von einer Überstellung nach Kroatien nur in Ausnahmefällen abzusehen, in welchen die Gesuchstellenden durch substantiierte Vorbringen darlegen können, dass die generelle Annahme in ihrem Fall nicht zutrifft (vgl. ebd., E. 9.5 [letzter Absatz]).</w:t>
      </w:r>
    </w:p>
    <w:p>
      <w:r>
        <w:rPr>
          <w:b/>
        </w:rPr>
        <w:t>E. 5.2.3</w:t>
      </w:r>
    </w:p>
    <w:p>
      <w:r>
        <w:t>Das Bundesveraltungsgericht hat keinen Anlass, daran zu zweifeln, dass die Beschwerdeführenden in Kroatien mit sehr belastenden Ereignissen konfrontiert waren. Es ist ohne weiteres verständlich, dass die Familie, und insbesondere die Kinder, von den Erlebnissen in Kroatien nach dem Grenzübertritt betroffen und belastet sind und deswegen nicht nach Kroatien zurückkehren möchten. Das geltend gemachte Verhalten der Polizisten und Polizistinnen ist auch nicht zu beschönigen. Jedoch fehlt es in objektiver Hinsicht an der notwendigen hohen Wahrscheinlichkeit, dass sich eine entsprechende Behandlung bei einer Rückkehr im Rahmen des Dublin-Verfahrens wiederholen könnte. Mit den pauschalen und allgemeinen Ausführungen in der Beschwerde, sie befürchteten, dass sie keinen Zugang zum Asylverfahren hätten und ihnen eine Kettenabschiebung drohe (Beschwerde Ziff. 3.2), haben sie kein konkretes und ernsthaftes Risiko dargetan, die kroatischen Behörden würden in ihrem Fall ihren völkerrechtlichen Verpflichtungen nicht nachkommen. Sie werden sich nach der Dublin-Überstellung in einer anderen Situation als nach ihrer ersten (illegalen) Einreise nach Kroatien befinden. Es bestehen vorliegend keine Gründe für die Annahme, Kroatien werde den Grundsatz des Non-Refoulement missachten und sie zur Ausreise in ein Land zwingen, in dem ihr Leib, ihr Leben oder ihre Freiheit aus einem Grund nach Art. 3 Abs. 1 AsylG gefährdet ist oder in dem sie Gefahr laufen würde, zur Ausreise in ein solches Land gezwungen zu werden. Bei einer allfälligen vorübergehenden Einschränkung der ihnen zustehenden Aufnahmebedingungen hätten sie sich sodann an die kroatischen Behörden zu wenden und ihre Rechte auf dem Rechtsweg einzufordern (vgl. Art. 26. Aufnahmerichtlinie). Im Übrigen gilt dies auch in Bezug auf ein allfälliges Fehlverhalten der kroatischen Polizei. Schliesslich steht ihnen die Möglichkeit offen, die vor Ort tätigen karitativen Organisationen zu kontaktieren.</w:t>
      </w:r>
    </w:p>
    <w:p>
      <w:r>
        <w:rPr>
          <w:b/>
        </w:rPr>
        <w:t>E. 5.2.4</w:t>
      </w:r>
    </w:p>
    <w:p>
      <w:r>
        <w:t>Auch ergeben sich aus den Akten keine gesundheitlichen Überstellungshindernisse. Eine zwangsweise Rückweisung von Personen mit gesundheitlichen Problemen vermag nur ausnahmsweise einen Verstoss gegen Art. 3 EMRK darzustellen.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 Die gesundheitlichen Beeinträchtigungen der Beschwerdeführenden erreichen die genannte hohe Schwelle einer schweren Erkrankung offensichtlich nicht und vermögen so einer Überstellung nach Kroatien nicht entgegenzustehen. Die medizinischen Beeinträchtigungen können, falls notwendig, auch in Kroatien behandelt werden. Auch eine allfällig benötigte medizinische Versorgung betreffend die psychischen Beeinträchtigungen der Kinder steht in Kroatien zur Verfügung.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auch für die Kinder (vgl. u.a. Urteil des BVGer E-3851/2023 vom 14. Juli 2023 E. 7.4.5 m.w.H.).</w:t>
      </w:r>
    </w:p>
    <w:p>
      <w:r>
        <w:rPr>
          <w:b/>
        </w:rPr>
        <w:t>E. 5.3</w:t>
      </w:r>
    </w:p>
    <w:p>
      <w:r>
        <w:t>Eine Überstellung nach Kroatien erweist sich demnach als zulässig und es liegen keine zwingenden Gründe für einen Selbsteintritt der Schweiz nach Art. 17 Abs. 1 Dublin-III-VO vor.</w:t>
      </w:r>
    </w:p>
    <w:p>
      <w:r>
        <w:rPr>
          <w:b/>
        </w:rPr>
        <w:t>E. 5.4</w:t>
      </w:r>
    </w:p>
    <w:p>
      <w:r>
        <w:t>Die angefochtene Verfügung ist schliesslich auch mit Blick auf die Anwendung von Art. 29a Abs. 3 AsylV 1 nicht zu beanstanden. Insbesondere sind den Akten keine Hinweise auf einen Ermessensmissbrauch respektive ein Über- oder Unterschreiten des Ermessens zu entnehmen.</w:t>
      </w:r>
    </w:p>
    <w:p>
      <w:r>
        <w:rPr>
          <w:b/>
        </w:rPr>
        <w:t>E. 5.5</w:t>
      </w:r>
    </w:p>
    <w:p>
      <w:r>
        <w:t>In der Beschwerde (Ziff. 3.2.b) wird zudem geltend gemacht, eine Überstellung nach Kroatien verletze Art. 3 des Übereinkommens vom 20. November 1989 über die Rechte des Kindes (nachfolgend: KRK, SR 0.107). In diesem Zusammenhang ist darauf hinzuweisen, dass Kroatien Signatarstaat ist und seinen daraus erwachsenen Verpflichtungen grundsätzlich nachkommt. Aus der KRK kann kein Anspruch auf Aufenthalt im Staat mit den für ein Kind vorteilhaftesten Lebensbedingungen abgeleitet werden (vgl. das Urteil des BVGer E-474/2023 vom 16. Mai 2023 E. 6.3.5 m.H.). Bei der Prüfung des Kindeswohls steht vielmehr das grundlegende Bedürfnis von Kindern im Vordergrund, in möglichst engem Kontakt mit ihren Eltern aufwachsen zu können, soweit es ihrem Wohle nicht schadet. Die Eltern sind die nächsten Bezugspersonen der minderjährigen Kinder und diese werden mit ihnen zusammen nach Kroatien überstellt; den Akten sind keine Hinweise darauf zu entnehmen, dass die Kinder dort von ihren Eltern getrennt werden könnten. Auch aus der (sehr kurzen) Aufenthaltsdauer in der Schweiz können sie nichts zu ihren Gunsten ableiten. Was die geltend gemachte subjektive Furcht der Kinder vor einer Rückkehr nach Kroatien betrifft (Beschwerde Ziff. 3.2), ist darauf zu verweisen, dass in erster Linie die Eltern in der Verantwortung stehen, ihren Kindern psychologischen Rückhalt zu geben. Dazu gehört auch, ihnen zu vermitteln, dass sie in Kroatien in einem Camp untergebracht werden und nicht in Umstände kommen, die mit der Situation anlässlich ihrer Anhaltung unmittelbar nach der illegalen Einreise vergleichbar sein werden. Dass sie dazu nicht in der Lage sein könnten, geht aus den Akten nicht hervor. Hinweise auf unverzüglich behandlungsbedürftige, schwere gesundheitliche Probleme der Kinder liegen, wie bereits erwähnt, ebenfalls nicht vor und im Übrigen ist der Zugang zu der notwendigen medizinischen Versorgung wie erwähnt gewährleistet.</w:t>
      </w:r>
    </w:p>
    <w:p>
      <w:r>
        <w:rPr>
          <w:b/>
        </w:rPr>
        <w:t>E. 6</w:t>
      </w:r>
    </w:p>
    <w:p>
      <w:r>
        <w:t>Die Vorinstanz ist demnach zu Recht auf die Asylgesuche der Beschwerdeführenden nicht eingetreten und hat ihre Wegweisung nach Kroatien angeordnet (Art. 31a Abs. 1 Bst. b AsylG und Art. 44 AsylG). Die angefochtene Verfügung erweist sich als rechtmässig (Art. 106 Abs. 1 AsylG) und die Beschwerde ist abzuweisen.</w:t>
      </w:r>
    </w:p>
    <w:p>
      <w:r>
        <w:rPr>
          <w:b/>
        </w:rPr>
        <w:t>E. 7</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Das Beschwerdeverfahren ist mit vorliegendem Urteil abgeschlossen, weshalb sich der Antrag um Gewährung der aufschiebenden Wirkung als gegenstandslos erweist. Die angeordnete vorsorgliche Massnahme - Aussetzung des Wegweisungsvollzugs -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