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E-5167/2019 vom 14. Oktober 2019</w:t>
      </w:r>
    </w:p>
    <w:p>
      <w:r>
        <w:t>Bundesverwaltungsgericht, 2019-10-14, DE</w:t>
      </w:r>
    </w:p>
    <w:p>
      <w:r>
        <w:rPr>
          <w:b/>
        </w:rPr>
        <w:t xml:space="preserve">Quelle: </w:t>
      </w:r>
      <w:r>
        <w:t>https://mcp.opencaselaw.ch/entscheid/bvger_E-5167_2019</w:t>
      </w:r>
    </w:p>
    <w:p>
      <w:r>
        <w:t>FR: TAF E-5167/2019 du 14 octobre 2019</w:t>
      </w:r>
    </w:p>
    <w:p>
      <w:r>
        <w:t>IT: TAF E-5167/2019 del 14 ottobre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Gestützt auf Art. 111a Abs. 1 AsylG wurde vorliegend auf die Durchführung eines Schriftenwechsels verzichtet.</w:t>
      </w:r>
    </w:p>
    <w:p>
      <w:r>
        <w:rPr>
          <w:b/>
        </w:rPr>
        <w:t>E. 2.3</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(vgl. FILZWIESER/SPRUNG, Dublin III-Verordnung, Wien 2014, Kap. 15 f. zu Art. 8).</w:t>
      </w:r>
    </w:p>
    <w:p>
      <w:r>
        <w:rPr>
          <w:b/>
        </w:rPr>
        <w:t>E. 4.1</w:t>
      </w:r>
    </w:p>
    <w:p>
      <w:r>
        <w:t>Die Vorinstanz gelangte in der angefochtenen Verfügung zum Ergebnis, dass es dem Beschwerdeführer nicht gelungen sei, seine Minderjährigkeit glaubhaft zu machen. In Gesamtwürdigung der Aktenlage sei er als volljährig zu betrachten. In Anbetracht der Tatsache, dass der Beschwerdeführer keine Identitätsdokumente habe vorweisen können, habe das SEM zur Abklärung des Alters eine vertiefte Erstbefragung durchgeführt. Dabei habe er unvereinbare Erklärungen gemacht, wie er sein Alter erfahren habe. Darüber hinaus hätten Abklärungen ergeben, dass in Schweden ein medizinisches Altersgutachten erstellt worden sei, gestützt auf welches bei den schwedischen und (...) Behörden als Geburtsdatum der (...) erfasst sei. Ferner habe der Beschwerdeführer gegenüber den (...) Behörden (...) als Geburtsjahr angegeben. Auch habe er sich anlässlich der Erstbefragung bezüglich der Frage widersprochen, ob Geburtsmonat und Geburtstag aufgrund seiner eigenen Angaben oder alleine anhand behördlicher Einschätzung festgesetzt worden seien. Seine widersprüchlichen Vorbringen seien auch nicht mit seinem Gesundheitszustand zu erklären. Sodann habe B._______ das in Schweden festgestellte Geburtsdatum ebenfalls übernommen und ihn im (...) 2018 wieder nach Schweden überstellt, was zusätzlich für seine Volljährigkeit spreche. Da unter diesen Umständen seine Volljährigkeit als erwiesen zu betrachten sei, sehe das SEM sich nicht dazu veranlasst, eine eigene Altersabklärung durchzuführen. Auch habe es auf die Vorlegung des Altersgutachtens von Schweden verzichten können, da aus der Korrespondenz mit den schwedischen Behörden das Geburtsdatum klar ersichtlich sei. Des Weiteren habe es keinen Anlass anzunehmen, das medizinische Altersgutachten sei nicht gemäss den internationalen Standards durchgeführt worden. Im ZEMIS werde deshalb als Geburtsdatum der (...) inklusive einem Bestreitungsvermerk eingetragen. Ferner befasste sich das SEM im angefochtenen Entscheid mit den weiteren Voraussetzungen betreffend die Überstellung des Beschwerdeführers nach Schweden und bejahte im Ergebnis die Rechtmässigkeit der Rückführung.</w:t>
      </w:r>
    </w:p>
    <w:p>
      <w:r>
        <w:rPr>
          <w:b/>
        </w:rPr>
        <w:t>E. 4.2</w:t>
      </w:r>
    </w:p>
    <w:p>
      <w:r>
        <w:t>In der Rechtsmitteleingabe wird dem entgegengehalten, in Zweifelsfällen wie dem Vorliegenden sei das behördliche Ermessen zur Nichtanordnung eines medizinischen Altersgutachtens in Anbetracht des möglicherweise auf dem Spiel stehenden Kindeswohls als sehr gering zu bezeichnen. Sodann habe der Beschwerdeführer seine zuerst widersprüchlichen Angaben zu Geburtsmonat und Geburtstag auf Eigeninitiative hin korrigiert, was zu seinen Gunsten zu werten sei. Unter anderem sei für ihn als Analphabeten das Geburtsdatum ein ungewohntes Thema und es sei anlässlich seines Asylverfahrens in Schweden zu Verständigungsschwierigkeiten gekommen. Sein äusseres Erscheinungsbild spreche für seine Minderjährigkeit, was auch die (...) sowie mehrere Personen der Beratung so sähen. Weiter stütze sich die Einschätzung des SEM nicht direkt auf das in Schweden erstellte Altersgutachten, sondern auf das in den schwedischen Unterlagen ersichtliche und im behördlichen Schriftenverkehr mitgeteilte Geburtsdatum. Das Altersgutachten selber sei nicht ausgehändigt worden und es sei zum Beispiel nicht bekannt, nach welchen Standards das Gutachten erstellt worden sei und wie die Behörden im Ergebnis konkret auf das Geburtsdatum "(...)" gekommen seien. Zudem seien Altersgutachten erfahrungsgemäss ungenau. Es bestünde keine genügende Grundlage, welche eine Altersanpassung durch die Vorinstanz um zwei Jahre rechtfertige. Im Ergebnis hätte in der Schweiz ein separates Altersgutachten erstellt werden müssen. Abschliessend sei festzuhalten, dass aufgrund seines Gesundheitszustandes ein Selbsteintritt durch die Schweizer Migrationsbehörden angezeigt gewesen wäre.</w:t>
      </w:r>
    </w:p>
    <w:p>
      <w:r>
        <w:rPr>
          <w:b/>
        </w:rPr>
        <w:t>E. 5.1</w:t>
      </w:r>
    </w:p>
    <w:p>
      <w:r>
        <w:t>Gemäss Art. 6 AsylG i.V.m.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w:t>
      </w:r>
    </w:p>
    <w:p>
      <w:r>
        <w:rPr>
          <w:b/>
        </w:rPr>
        <w:t>E. 5.2</w:t>
      </w:r>
    </w:p>
    <w:p>
      <w:r>
        <w:t>Die Vorinstanz stützt sich bei ihrer Alterseinschätzung im Wesentlichen auf die diesbezügliche Auskunft der schwedischen Behörden, welche sich wiederum auf ein Altersgutachten bezieht, welches weder dem SEM noch dem Gericht zur Einsicht vorliegt. Ferner ist mit dem Beschwerdeführer darin übereinzugehen, dass die Überstellung von B._______ nach Schweden am (...) 2018 nichts zur Annahme seiner Volljährigkeit beitragen kann, da der Beschwerdeführer unter Zugrundelegung des strittigen Geburtsdatums vom (...) im damaligen Zeitpunkt noch minderjährig gewesen wäre. Auch ist der blosse Umstand, dass B._______ die Altersangaben der schwedischen Behörden unbesehen übernommen hat, kein verlässlicher Beleg für oder gegen die Volljährigkeit des Beschwerdeführers. Da - wie der Beschwerdeführer zutreffend vorbringt - die im vorliegenden Fall möglicherweise tangierten Rechtsgüter im Zusammenhang mit dem Kindeswohl als hoch zu qualifizieren sind und die Frage der Volljährigkeit/Minderjährigkeit mit Blick auf Art. 8 Abs. 4 Dublin-VO-III sowie der dazu geltenden Praxis (vgl. bereits E. 3.2) die Frage der Zuständigkeit und somit eine Prozessvoraussetzung beschlägt, gebietet der Untersuchungsgrundsatz in casu einen möglichst umfassenden Einbezug der zur Verfügung stehenden Untersuchungsmittel. Die Vorinstanz ist deshalb anzuhalten, zur Einschätzung des Alters des Beschwerdeführers ein Altersgutachten erstellen zu lassen (vgl. Art. 17 Abs. 3bis AsylG sowie Art. 7 Abs. 1 der Asylverordnung 1 vom 11. August 1999 [AsylV 1, SR 142.311]). Die Vorinstanz hat den Untersuchungsgrundsatz und damit Bundesrecht verletzt.</w:t>
      </w:r>
    </w:p>
    <w:p>
      <w:r>
        <w:rPr>
          <w:b/>
        </w:rPr>
        <w:t>E. 5.3</w:t>
      </w:r>
    </w:p>
    <w:p>
      <w:r>
        <w:t>Da somit weitere Erhebungen notwendig sind und sich die Sache mithin noch nicht als spruchreif erweist, ist die angefochtene Verfügung zu kassieren (Art. 61 Abs. 1 VwVG).</w:t>
      </w:r>
    </w:p>
    <w:p>
      <w:r>
        <w:rPr>
          <w:b/>
        </w:rPr>
        <w:t>E. 6</w:t>
      </w:r>
    </w:p>
    <w:p>
      <w:r>
        <w:t>Die Beschwerde ist gutzuheissen, die Verfügung vom 25. September 2019 aufzuheben und die Sache zur weiteren Sachverhaltsabklärung und neuer Entscheidung an die Vorinstanz zurückzuweisen.</w:t>
      </w:r>
    </w:p>
    <w:p>
      <w:r>
        <w:rPr>
          <w:b/>
        </w:rPr>
        <w:t>E. 7.1</w:t>
      </w:r>
    </w:p>
    <w:p>
      <w:r>
        <w:t>Bei diesem Ausgang des Verfahrens sind keine Kosten zu erheben (Art. 63 Abs. 1 und 2 VwVG). Die Gesuche um Gewährung der unentgeltlichen Prozessführung gemäss Art. 65 Abs. 1 VwVG sowie um Verzicht auf die Erhebung eines Kostenvorschusses sind damit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