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E-5162/2014 vom 19. September 2014</w:t>
      </w:r>
    </w:p>
    <w:p>
      <w:r>
        <w:t>Bundesverwaltungsgericht, 2014-09-19, DE</w:t>
      </w:r>
    </w:p>
    <w:p>
      <w:r>
        <w:rPr>
          <w:b/>
        </w:rPr>
        <w:t xml:space="preserve">Quelle: </w:t>
      </w:r>
      <w:r>
        <w:t>https://mcp.opencaselaw.ch/entscheid/bvger_E-5162_2014</w:t>
      </w:r>
    </w:p>
    <w:p>
      <w:r>
        <w:t>FR: TAF E-5162/2014 du 19 septembre 2014</w:t>
      </w:r>
    </w:p>
    <w:p>
      <w:r>
        <w:t>IT: TAF E-5162/2014 del 19 settembre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die unrichtige oder unvollständige Feststellung des rechtserheblichen Sachverhalts und die Unangemessenheit gerügt werden (Art. 106 Abs. 1 AsylG). Keinen Rügegrund stellt gemäss dem seit 1. Februar 2014 geltenden Recht die Unangemessenheit dar (Art. 106 Abs. 1 Bst. c aAsylG).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(Art. 8 - 15 Dublin-III-VO) als zuständiger Staat bestimmt wird (Art. 3 Abs. 1, Satz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Nach Art. 17 Abs. 2 Satz 1 Dublin-III-VO kann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den Antragsteller aus humanitären Gründen oder zum Zweck der Zusammenführung verwandter Personen aufzunehmen, wobei die betroffenen Personen dem schriftlich zustimmen müssen (sog. Humanitäre Klausel).</w:t>
      </w:r>
    </w:p>
    <w:p>
      <w:r>
        <w:rPr>
          <w:b/>
        </w:rPr>
        <w:t>E. 4.1</w:t>
      </w:r>
    </w:p>
    <w:p>
      <w:r>
        <w:t>Die Vorinstanz hält in der angefochtenen Verfügung fest, ein Abgleich der Fingerabdrücke mit der Zentraleinheit Eurodac habe ergeben, dass die Beschwerdeführerin am 25. Juni 2014 in Ungarn ein Asylgesuch eingereicht habe. Die ungarischen Behörden hätten das Ersuchen der Schweiz um Übernahme der Beschwerdeführerin und ihrer Kinder gestützt auf Art. 18 Abs. 1 Bst. b Dublin-III-VO gutgeheissen. Die Zuständigkeit für die Durchführung des Asyl- und Wegweisungsverfahrens liege somit bei Ungarn. Anlässlich der Gewährung des rechtlichen Gehörs habe sich die Beschwerdeführerin gegen eine Rückführungen nach Ungarn ausgesprochen. Sie ziehe es vor, nach Somalia zurückzukehren, da das Leben in Ungarn schlecht sei. Es dürfte zutreffen, dass in Ungarn im europäischen Vergleich ein tieferer Lebensstandard gegeben sei, die Unterbringung von Asylsuchenden unterschreite aber die Mindeststandards internationalen Rechts nicht. Sie habe Anspruch auf eine Unterkunft, drei Mahlzeiten pro Tag und ein monatliches Zehrgeld. Als alleinstehende Frau mit drei kleinen Kindern werde sie mit Familien auf einem separaten Stockwerk untergebracht. Verfahren mit vulnerablen Personen würden in Ungarn mit höchster Priorität behandelt. Sollte die vorgefundene Situation nicht ihren Bedürfnissen entsprechend, sei ihr zuzumuten, sich an die zuständigen Behörden zu wenden. Das Dublin Office Ungarn habe dem BFM sodann zugesichert, dass die Beschwerdeführerin als alleinstehende Frau mit Kleinkindern nicht in Haft gesetzt werde. Gemäss Rechtsprechung des Bundesverwaltungsgerichts sei es nicht notwendig, dass eine Abklärung der spezifischen Unterbringungssituation vorgenommen werde. Vor der Überstellung würden die ungarischen Behörden nochmals über die Situation der Beschwerdeführerin informiert. Schliesslich verfüge Ungarn über eine ausreichende medizinische Infrastruktur.</w:t>
      </w:r>
    </w:p>
    <w:p>
      <w:r>
        <w:rPr>
          <w:b/>
        </w:rPr>
        <w:t>E. 4.2</w:t>
      </w:r>
    </w:p>
    <w:p>
      <w:r>
        <w:t>In der Rechtsmitteleingabe beruft sich die Beschwerdeführerin auf die humanitäre Klausel. Gemäss dieser sei aus humanitären Gründen oder in Härtefällen von den Zuständigkeitskriterien abzuweichen, um Familienangehörige zusammenzuführen. Die Vorinstanz gehe in der angefochtenen Verfügung nicht auf die Tatsache ein, dass die Mutter und der Bruder in der Schweiz vorläufig aufgenommen seien. Entgegen der vorinstanzlichen Ansicht sei die Situation in Ungarn unzumutbar, unzulässig und rechtswidrig. Sie sei mit ihren drei Kindern überfordert und erhalte hier in der Schweiz diesbezüglich Unterstützung von ihrer Mutter. Demgegenüber sei sie in Ungarn auf sich allein gestellt.</w:t>
      </w:r>
    </w:p>
    <w:p>
      <w:r>
        <w:rPr>
          <w:b/>
        </w:rPr>
        <w:t>E. 4.3</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w:t>
      </w:r>
    </w:p>
    <w:p>
      <w:r>
        <w:rPr>
          <w:b/>
        </w:rPr>
        <w:t>E. 4.4</w:t>
      </w:r>
    </w:p>
    <w:p>
      <w:r>
        <w:t>Mit der Aufhebung von Art. 106 Abs. 1 Bst.c aAsylG (in Kraft sei 1. Februar 2014) kann der Beschwerdegrund der Unangemessenheit vor dem Bundesverwaltungsgericht nicht mehr gerügt werden. Nachfolgend ist somit nur zu prüfen, ob der Beschwerdeführerin bei einer Überstellung nach Ungarn eine Verletzung völkerrechtlicher Pflichten, namentlich Art. 3 EMRK, droht. Die Beschwerdeführerin hat demnach substantiiert darzulegen, gestützt auf welche konkreten Hinweise anzunehmen sei, die zuständigen ausländischen Behörden würden in ihrem Fall ihre staatsvertraglichen Verpflichtungen nicht respektieren und ihr den notwendigen Schutz verweigern.</w:t>
      </w:r>
    </w:p>
    <w:p>
      <w:r>
        <w:rPr>
          <w:b/>
        </w:rPr>
        <w:t>E. 5.1</w:t>
      </w:r>
    </w:p>
    <w:p>
      <w:r>
        <w:t>Es trifft zu, dass die Mutter und der Bruder der Beschwerdeführerin, welche in der Schweiz vorläufig aufgenommen sind, in der angefochtenen Verfügung nicht erwähnt werden. Indes hat die Beschwerdeführerin anlässlich der Befragung an keiner Stelle geltend gemacht hat, sie sei in die Schweiz gereist, um mit ihrer Mutter und ihrem Bruder zusammengeführt zu werden beziehungsweise sie sei konkret auf deren Unterstützung angewiesen. Solches ist auch nicht ersichtlich. Für die Vorinstanz bestand daher keine Veranlassung, auf diese Verwandten der volljährigen Beschwerdeführerin Bezug zu nehmen. In der angefochtenen Verfügung anerkennt die Vorinstanz die Beschwerdeführerin und ihre Kinder als vulnerable Personen. Sie hat aber hinreichend begründet, weshalb eine Überstellung nach Ungarn dennoch zumutbar ist. Namentlich hat sie sich eine Zusicherung der ungarischen Behörden geben lassen, dass die Beschwerdeführer nicht in Haft genommen werde. Was die Unterbringen der Beschwerdeführerin und ihrer Kinder betrifft, ist es ihr zuzumuten, bei den ungarischen Behörden allenfalls vorzusprechen und ihre Situation darzulegen, wie dies bereits die Vorinstanz festgestellt hat. Vor diesem Hintergrund lässt sich keine rechtsfehlerhafte Ausübung des Ermessens durch die Vorinstanz erkennen.</w:t>
      </w:r>
    </w:p>
    <w:p>
      <w:r>
        <w:rPr>
          <w:b/>
        </w:rPr>
        <w:t>E. 5.2.1</w:t>
      </w:r>
    </w:p>
    <w:p>
      <w:r>
        <w:t>Zum Vorbringen, die Situation in Ungarn sei unzumutbar, unzulässig und rechtswidrig, ist festzuhalten, dass Ungarn Signatarstaat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5.2.2</w:t>
      </w:r>
    </w:p>
    <w:p>
      <w:r>
        <w:t>Im Urteil E-2093/2012 vom 9. Oktober 2013 hat sich das Bundesverwaltungsgericht eingehend mit der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 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5.2.3</w:t>
      </w:r>
    </w:p>
    <w:p>
      <w:r>
        <w:t>Mit ihren Ausführungen in der Rechtsmitteleingabe legt die Beschwerdeführerin nicht substantiiert dar, sie habe beziehungsweise würde in Ungarn kein faires Asylverfahren durchlaufen. Vielmehr hat sie erwiesenermassen im Juni 2014 in Ungarn ein Asylgesuch eingereicht, jedoch das Land bereist nach wenigen Tagen und damit vor der Fällung eines materiellen Entscheides wieder verlassen. Auch substantiiert sie nicht näher, inwiefern die Situation in Ungarn derart schlecht ist, dass dies in ihrem Fall eine Verletzung der EMRK darstellen würde. Darüber hinaus sind den Akten keine Hinweise darauf zu entnehmen, dass die Beschwerdeführerin und ihre Kinder im Falle einer Überstellung nach Ungarn in eine existentielle Notlage geraten würden. Es bestehen somit keine konkreten Hinweise darauf, dass die Beschwerdeführerin in Ungarn nicht Zugang zu einem rechtsstaatlichen Verfahren im Sinne des Dublin-Systems hatte und ihr und ihren Kinder in Bezug auf die Unterbringung und ihre besonderen Bedürfnisse Rechnung getragen wird. Diesbezüglich hat die Vorinstanz unter Hinweise auf Art. 31 f Dublin-III-VO festgehalten, dass die ungarischen Behörden vor der Überstellung nochmals auf die Situation der Beschwerdeführerin informiert werde. Den Nachweis, in ihrem Fall würden staatsvertragliche Verpflichtungen durch Ungarn nicht respektiert und ihr werde nicht der notwendige Schutz gewährt, hat die Beschwerdeführerin somit nicht erbracht. Es besteht keine Veranlassung für einen Selbsteintritt der Schweiz.</w:t>
      </w:r>
    </w:p>
    <w:p>
      <w:r>
        <w:rPr>
          <w:b/>
        </w:rPr>
        <w:t>E. 5.3</w:t>
      </w:r>
    </w:p>
    <w:p>
      <w:r>
        <w:t>Die Vorinstanz ist somit zutreffend von der Zuständigkeit Ungarns ausgegangen und in Anwendung von Art. 31a Abs. 1 Bst. b AsylG auf das Asylgesuch nicht eingetreten.</w:t>
      </w:r>
    </w:p>
    <w:p>
      <w:r>
        <w:rPr>
          <w:b/>
        </w:rPr>
        <w:t>E. 6</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Vollzugsbehörden seien anzuweisen, von einer Überstellung abzusehen, gegenstandslos geworden.</w:t>
      </w:r>
    </w:p>
    <w:p>
      <w:r>
        <w:rPr>
          <w:b/>
        </w:rPr>
        <w:t>E. 8.1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