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E-5161/2011 vom 25. September 2012</w:t>
      </w:r>
    </w:p>
    <w:p>
      <w:r>
        <w:t>Bundesverwaltungsgericht, 2012-09-25, FR</w:t>
      </w:r>
    </w:p>
    <w:p>
      <w:r>
        <w:rPr>
          <w:b/>
        </w:rPr>
        <w:t xml:space="preserve">Quelle: </w:t>
      </w:r>
      <w:r>
        <w:t>https://mcp.opencaselaw.ch/entscheid/bvger_E-5161_2011</w:t>
      </w:r>
    </w:p>
    <w:p>
      <w:r>
        <w:t>FR: TAF E-5161/2011 du 25 septembre 2012</w:t>
      </w:r>
    </w:p>
    <w:p>
      <w:r>
        <w:t>IT: TAF E-5161/2011 del 25 settembre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lesquelles n'entrent pas dans le champ d'exclusion de l'art. 32 LTAF peuvent être contestées devant le Tribunal conformément à l'art. 33 let. d LTAF (en vertu du renvoi figurant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Les recourants ont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2010/57 consid. 2.3 et réf. cit. ; Jurisprudence et informations de la Commission suisse de recours en matière d'asile [JICRA] 2005 n° 21 consid. 6.1 p. 190 s., JICRA 1996 n° 28 consid. 3a p. 270, JICRA 1994 n° 5 consid. 3c p. 43 s.).</w:t>
      </w:r>
    </w:p>
    <w:p>
      <w:r>
        <w:rPr>
          <w:b/>
        </w:rPr>
        <w:t>E. 2.3</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 ; voir aussi Organisation suisse d'aide aux réfugiés (OSAR) [éd.], Manuel de la procédure d'asile et de renvoi, Berne 2009, p. 186 ss ; Minh Son Nguyen, Droit public des étrangers, Berne 2003, p. 447 ss ; Haut Commissariat des Nations Unies pour les Réfugiés, Guide des procédures et critères à appliquer pour déterminer le statut de réfugié, Genève 1992, nos 37 ss p. 11 ss).</w:t>
      </w:r>
    </w:p>
    <w:p>
      <w:r>
        <w:rPr>
          <w:b/>
        </w:rPr>
        <w:t>E. 3.1</w:t>
      </w:r>
    </w:p>
    <w:p>
      <w:r>
        <w:t>En l'occurrence, il s'agit d'abord de déterminer si le récit des recourants sur les motifs qui les auraient amenés à quitter l'Afghanistan, le 25 juin 2010, est ou non vraisemblable au sens de l'art. 7 LAsi.</w:t>
      </w:r>
    </w:p>
    <w:p>
      <w:r>
        <w:rPr>
          <w:b/>
        </w:rPr>
        <w:t>E. 3.1.1</w:t>
      </w:r>
    </w:p>
    <w:p>
      <w:r>
        <w:t>Il y a lieu de constater que les recourants, qui n'ont pas allégué s'être mariés civilement ni même religieusement, durant leur séjour de plus de deux ans en Suisse, n'ont produit aucun document susceptible de prouver leur célibat au moment du dépôt de leur demande d'asile, le 2 septembre 2010, ni même au moment de leur départ allégué d'Afghanistan, le 25 juin précédent. Certes, la tazkira de la recourante comporte l'indication que celle-ci était célibataire en date du (...) 2009 et celle du recourant que celui-ci était célibataire en date du (...) 2010. Toutefois, ces documents n'établissent en aucune manière leur célibat au moment de leur départ d'Afghanistan. Ils ne sont à l'évidence pas susceptibles d'établir que les recourants ont quitté ensemble ce pays sans l'accord de leurs familles respectives. De surcroît, ce type de document est facile à éditer ou à falsifier, de sorte qu'il ne revêt qu'une faible valeur probante s'agissant de l'état civil de son détenteur (cf. dans le même sens s'agissant de l'âge du détenteur, arrêt E 3301/2012 du Tribunal du 3 août 2012 consid. 4.3 et jurisp. cit.). Dans ces conditions, le Tribunal ne peut pas exclure avec suffisamment de probabilité ni qu'ils soient déjà mariés ni même qu'ils soient proches parents. Les recourants n'ont pas non plus produit de document susceptible d'établir leur différence confessionnelle.</w:t>
      </w:r>
    </w:p>
    <w:p>
      <w:r>
        <w:rPr>
          <w:b/>
        </w:rPr>
        <w:t>E. 3.1.2</w:t>
      </w:r>
    </w:p>
    <w:p>
      <w:r>
        <w:t>Bien que le récit du recourant soit, en grande partie analogue à celui de la recourante, il y a néanmoins lieu de relever plusieurs contradictions essentielles entre eux. Ainsi en va-t-il de la désignation des personnes ayant accompagné la recourante à la boutique du recourant, et de l'existence ou non d'un appel du recourant sur le téléphone portable de la recourante après le refus de la demande en mariage par le père de celle-ci. Les déclarations du recourant selon lesquelles il est parvenu à contacter la recourante qui lui a annoncé le refus de la demande en mariage sont, de plus, incohérentes avec celles portant sur la confiscation du téléphone portable de celle-ci. Leurs déclarations divergent également sur la personne qui, en premier, a pris l'initiative d'appeler téléphoniquement l'autre après le rejet de la demande en mariage. Enfin, les déclarations du recourant sont contradictoires entre elles s'agissant de la méthode de financement de son voyage avec sa compagne jusqu'en Europe (cf. pièce A7 p. 6, pièce A15 rép. 114-116 et pièce A21 rép. 77).</w:t>
      </w:r>
    </w:p>
    <w:p>
      <w:r>
        <w:rPr>
          <w:b/>
        </w:rPr>
        <w:t>E. 3.1.3</w:t>
      </w:r>
    </w:p>
    <w:p>
      <w:r>
        <w:t>De plus, le caractère vague des déclarations des recourants portant sur les événements survenus peu avant leur départ d'Afghanistan contraste avec la précision de leurs récits portant sur leur voyage depuis Urumiye (Iran) jusqu'en Suisse. Les déclarations du recourant portant sur les préparatifs en vue de son voyage avec la recourante, lequel aurait eu lieu avec l'appui de plusieurs passeurs et aurait nécessité la confection d'un faux passeport pour chacun d'eux, sont vagues, voire évasives. En particulier, il n'a pas précisé comment il s'était procuré la photographie de la recourante qui aurait été apposée dans le faux passeport conçu pour celle-ci. De plus, la recourante n'a pas expliqué comment sa tazkira était parvenue au cousin du recourant et ni elle ni le recourant n'ont mentionné avoir eu des contacts avec celui-ci après leur départ d'Afghanistan. Leur récit est également lacunaire s'agissant de leurs retrouvailles, le jour de leur départ ; s'ils ont mentionné avoir été accompagnés par un passeur au passage de la frontière iranienne, ils n'ont pas fait mention de la présence de celui-ci lors de leurs retrouvailles.</w:t>
      </w:r>
    </w:p>
    <w:p>
      <w:r>
        <w:rPr>
          <w:b/>
        </w:rPr>
        <w:t>E. 3.1.4</w:t>
      </w:r>
    </w:p>
    <w:p>
      <w:r>
        <w:t>Enfin, s'il est vrai, selon les informations à disposition du Tribunal, que le taux de mariages interconfessionnels est très bas en Afghanistan et que les relations entre Sunnites et Chiites y sont en règle générale tendues, le refus par le père de la recourante du mariage de celle-ci avec un homme de condition supérieure à la sienne n'en demeure pas moins, dans les circonstances décrites, peu crédible.</w:t>
      </w:r>
    </w:p>
    <w:p>
      <w:r>
        <w:rPr>
          <w:b/>
        </w:rPr>
        <w:t>E. 3.2</w:t>
      </w:r>
    </w:p>
    <w:p>
      <w:r>
        <w:t>Au vu de ce qui précède, tout bien pesé, les recourants ne sont pas parvenus à rendre vraisemblable, au sens de l'art. 7 LAsi, qu'ils formaient un couple ayant fui l'Afghanistan consécutivement au refus, par le père de la recourante, de leur mariage interconfessionnel.</w:t>
      </w:r>
    </w:p>
    <w:p>
      <w:r>
        <w:rPr>
          <w:b/>
        </w:rPr>
        <w:t>E. 3.3</w:t>
      </w:r>
    </w:p>
    <w:p>
      <w:r>
        <w:t>Par conséquent, l'existence d'une crainte objectivement fondée de persécution future au sens de l'art. 3 LAsi en cas de retour à Herat ne saurait être admise.</w:t>
      </w:r>
    </w:p>
    <w:p>
      <w:r>
        <w:rPr>
          <w:b/>
        </w:rPr>
        <w:t>E. 3.4</w:t>
      </w:r>
    </w:p>
    <w:p>
      <w:r>
        <w:t>Il s'ensuit que le recours, en tant qu'il conteste le refus de reconnaissance de la qualité de réfugié et le rejet des demandes d'asile, doit être rejeté.</w:t>
      </w:r>
    </w:p>
    <w:p>
      <w:r>
        <w:rPr>
          <w:b/>
        </w:rPr>
        <w:t>E. 4.1</w:t>
      </w:r>
    </w:p>
    <w:p>
      <w:r>
        <w:t>Aux termes de l'art. 44 al. 1 LAsi, lorsqu'il rejette la demande d'asile ou qu'il refuse d'entrer en matière à ce sujet, l'ODM prononce, en règle générale, le renvoi de Suisse et en ordonne l'exécution ; il tient compte du principe de l'unité de la famille</w:t>
      </w:r>
    </w:p>
    <w:p>
      <w:r>
        <w:rPr>
          <w:b/>
        </w:rPr>
        <w:t>E. 4.2</w:t>
      </w:r>
    </w:p>
    <w:p>
      <w:r>
        <w:t>En l'occurrence, aucune des conditions de l'art. 32 de l'ordonnance 1 du 11 août 1999 sur l'asile (OA 1, RS 142.311) n'étant réalisée, en l'absence notamment d'un droit des recourants à une autorisation de séjour ou d'établissement, le Tribunal est tenu, de par la loi, de confirmer le renvoi.</w:t>
      </w:r>
    </w:p>
    <w:p>
      <w:r>
        <w:rPr>
          <w:b/>
        </w:rPr>
        <w:t>E. 5</w:t>
      </w:r>
    </w:p>
    <w:p>
      <w:r>
        <w:t>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(art. 44 al. 2 LAsi). A contrario, l'exécution du renvoi est ordonnée lorsqu'elle est licite, raisonnablement exigible et possible.</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6.3</w:t>
      </w:r>
    </w:p>
    <w:p>
      <w:r>
        <w:t>En l'occurrence, 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6.4</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JICRA 1996 n° 18 consid. 14b let. ee p. 186 s. ; Cour européenne des droits de l'homme [ci-après : CourEDH], arrêt F.H. c. Suède, n° 32621/06, 20 janvier 2009, CourEDH, arrêt Saadi c. Italie, n° 37201/06, 28 février 2008).</w:t>
      </w:r>
    </w:p>
    <w:p>
      <w:r>
        <w:rPr>
          <w:b/>
        </w:rPr>
        <w:t>E. 6.5</w:t>
      </w:r>
    </w:p>
    <w:p>
      <w:r>
        <w:t>En l'occurrence, pour les raisons exposées ci-avant, les recourants n'ont pas démontré à satisfaction de droit qu'il existait pour eux un risque réel, fondé sur des motifs sérieux et avérés, d'être victimes de torture ou encore d'un traitement inhumain ou dégradant au sens de l'art. 3 CEDH en cas d'exécution du renvoi dans leur pays d'origine.</w:t>
      </w:r>
    </w:p>
    <w:p>
      <w:r>
        <w:rPr>
          <w:b/>
        </w:rPr>
        <w:t>E. 6.6</w:t>
      </w:r>
    </w:p>
    <w:p>
      <w:r>
        <w:t>Il ne ressort pas non plus de l'examen du dossier que l'exécution du renvoi des recourants pourrait les exposer à un traitement contraire à l'art. 3 Conv. torture précité.</w:t>
      </w:r>
    </w:p>
    <w:p>
      <w:r>
        <w:rPr>
          <w:b/>
        </w:rPr>
        <w:t>E. 6.7</w:t>
      </w:r>
    </w:p>
    <w:p>
      <w:r>
        <w:t>Dès lors, l'exécution du renvoi des recourants sous forme de refoulement ne transgresse aucun engagement de la Suisse relevant du droit international, de sorte qu'elle s'avère licite au sens de l'art. 83 al. 3 LEtr.</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JICRA 2002 n° 11 consid. 8a).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 JICRA 1999 n° 28 et jurisp. cit.).</w:t>
      </w:r>
    </w:p>
    <w:p>
      <w:r>
        <w:rPr>
          <w:b/>
        </w:rPr>
        <w:t>E. 7.3</w:t>
      </w:r>
    </w:p>
    <w:p>
      <w:r>
        <w:t>En son arrêt E- 7625/2008 du 16 juin 2011, le Tribunal a procédé à une analyse détaillée de la situation en Afghanistan (cf. ATAF 2011/7 consid. 9.3) et a abouti à la conclusion que la situation sécuritaire dans le pays s'est péjorée de façon généralisée au cours de ces dernières années, y compris dans les centres urbains et la ville de Kaboul (cf. ATAF précité consid. 9.7.5). Il en va de même concernant la situation humanitaire où il y a cependant lieu d'opérer une distinction entre les zones rurales et les zones urbaines. Si, dans leur grande majorité, les zones rurales connaissent une situation particulièrement précaire, celle prévalant à Kaboul s'avère meilleure, la situation sécuritaire s'y étant stabilisée au cours de ces dernières années (cf. ATAF précité consid. 9.8 - 9.9). Le Tribunal a considéré que l'exécution du renvoi vers Kaboul pouvait être raisonnablement exigée pour les jeunes hommes en bonne santé si les conditions strictes énoncées dans la JICRA 2003 n° 10 sont respectées. En particulier, l'existence d'un solide réseau social à même d'accueillir et de soutenir la réinsertion de la personne concernée doit être établie, sans quoi les conditions de vie difficiles auxquelles elle serait amenée à faire face la conduiraient à une mise en danger concrète au sens de l'art. 83 al. 4 LEtr. Le Tribunal a laissé ouverte la question portant sur les villes de Herat et Mazar-e-Sharif (cf. ATAF précité consid. 9.9.1).</w:t>
      </w:r>
    </w:p>
    <w:p>
      <w:r>
        <w:rPr>
          <w:b/>
        </w:rPr>
        <w:t>E. 7.4</w:t>
      </w:r>
    </w:p>
    <w:p>
      <w:r>
        <w:t>Le Tribunal a analysé, dans un arrêt D-2312/2009 du 28 octobre 2011 (cf. état de faits, let. H), la situation prévalant dans la ville d'Herat (cf. ATAF 2011/38 consid. 4.3.3).</w:t>
      </w:r>
    </w:p>
    <w:p>
      <w:r>
        <w:rPr>
          <w:b/>
        </w:rPr>
        <w:t>E. 7.4.1</w:t>
      </w:r>
    </w:p>
    <w:p>
      <w:r>
        <w:t>Selon cette jurisprudence, la situation dans la ville d'Herat doit être considérée, à teneur de rapports récents, et ce, en comparaison avec d'autres villes afghanes, comme relativement calme. Certes, les activités des insurgés ont augmenté depuis 2009, à tout le moins dans dix arrondissements de la province de Herat, mais le nombre des attaques dans la ville est resté faible. Depuis le mois de juin 2011, aucune activité émanant des groupes armés de l'opposition n'a été signalée dans la ville. La responsabilité concernant la sécurité de la ville a été transférée, comme prévu, le 21 juillet 2011, par les forces internationales (International Security Assistance Force) aux troupes de sécurité afghanes et le processus de transfert devrait prendre fin au terme de l'année 2014. Cela exposé, les frappes et attaques enregistrées ont visé la plupart du temps les forces de sécurité afghanes et internationales tandis que les civils n'ont été touchés que très rarement et seulement par hasard.</w:t>
      </w:r>
    </w:p>
    <w:p>
      <w:r>
        <w:rPr>
          <w:b/>
        </w:rPr>
        <w:t>E. 7.4.2</w:t>
      </w:r>
    </w:p>
    <w:p>
      <w:r>
        <w:t>Sur la base de ces considérations, la situation dans la ville d'Herat a été considérée comme comparable à celle régnant à Kaboul (cf. ATAF 2011/38 consid. 4.3.3.1). Le caractère exigible de l'exécution d'un renvoi vers la ville de Herat doit être ainsi admis aux mêmes conditions que celles prévalant pour la ville de Kaboul.</w:t>
      </w:r>
    </w:p>
    <w:p>
      <w:r>
        <w:rPr>
          <w:b/>
        </w:rPr>
        <w:t>E. 7.5</w:t>
      </w:r>
    </w:p>
    <w:p>
      <w:r>
        <w:t>En l'espèce, il ne ressort du dossier aucun élément dont on pourrait inférer que l'exécution du renvoi des recourants à Herat impliquerait une mise en danger concrète de ceux-ci. Leur jeune âge, l'absence de problème de santé particulier et l'expérience professionnelle du recourant constituent des facteurs favorables à leur réinstallation dans cette ville. Selon ses déclarations, le recourant est d'extraction aisée et dispose d'un réseau familial important à Herat, où vivent ses parents, ses deux soeurs, deux de ses trois oncles, ses deux tantes, quatre de ses cinq cousins et ses cinq cousines. Les allégations des recourants sur leur fuite d'Afghanistan consécutivement au refus, par le père de la recourante, de leur mariage interconfessionnel, apparaissant invraisemblables, ceux-ci sont censés pouvoir compter à leur retour à Herat sur l'aide des membres de la famille du recourant pour leur donner accès à un logement et au minimum vital.</w:t>
      </w:r>
    </w:p>
    <w:p>
      <w:r>
        <w:rPr>
          <w:b/>
        </w:rPr>
        <w:t>E. 7.6</w:t>
      </w:r>
    </w:p>
    <w:p>
      <w:r>
        <w:t>Pour ces motifs, l'exécution du renvoi doit être considérée comme raisonnablement exigible au sens de l'art. 83 al. 4 LEtr.</w:t>
      </w:r>
    </w:p>
    <w:p>
      <w:r>
        <w:rPr>
          <w:b/>
        </w:rPr>
        <w:t>E. 8.1</w:t>
      </w:r>
    </w:p>
    <w:p>
      <w:r>
        <w:t>L'exécution n'est pas possible lorsque l'étranger ne peut pas quitter la Suisse pour son Etat d'origine, son Etat de provenance ou un Etat tiers, ni être renvoyé dans un de ces Etats (art. 83 al. 2 LEtr).</w:t>
      </w:r>
    </w:p>
    <w:p>
      <w:r>
        <w:rPr>
          <w:b/>
        </w:rPr>
        <w:t>E. 8.2</w:t>
      </w:r>
    </w:p>
    <w:p>
      <w:r>
        <w:t>En l'occurrence, les recourants sont en possession de documents suffisants pour rentrer dans leur pays ou, à tout le moins, sont tenus d'entreprendre toute démarche nécessaire auprès de la représentation de leur pays d'origine en vue de l'obtention de documents de voyage leur permettant de quitter la Suisse (cf. art. 8 al. 4 LAsi). L'exécution du renvoi ne se heurte donc pas à des obstacles insurmontables d'ordre technique et s'avère également possible au sens de l'art. 83 al. 2 LEtr (cf. ATAF 2008/34 consid. 12).</w:t>
      </w:r>
    </w:p>
    <w:p>
      <w:r>
        <w:rPr>
          <w:b/>
        </w:rPr>
        <w:t>E. 9</w:t>
      </w:r>
    </w:p>
    <w:p>
      <w:r>
        <w:t>Au vu de ce qui précède, l'exécution du renvoi doit être déclarée conforme aux dispositions légales.</w:t>
      </w:r>
    </w:p>
    <w:p>
      <w:r>
        <w:rPr>
          <w:b/>
        </w:rPr>
        <w:t>E. 10</w:t>
      </w:r>
    </w:p>
    <w:p>
      <w:r>
        <w:t>Il s'ensuit que le recours, en tant qu'il conteste la décision de renvoi et son exécution, doit être également rejeté et la décision attaquée confirmée sur ces points.</w:t>
      </w:r>
    </w:p>
    <w:p>
      <w:r>
        <w:rPr>
          <w:b/>
        </w:rPr>
        <w:t>E. 11</w:t>
      </w:r>
    </w:p>
    <w:p>
      <w:r>
        <w:t>Au vu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Toutefois, la demande d'assistance judiciaire partielle devant être admise, il n'est pas perçu de frais (cf.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