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E-5158/2024 vom 17. Juli 2024</w:t>
      </w:r>
    </w:p>
    <w:p>
      <w:r>
        <w:t>Bundesverwaltungsgericht, 2024-07-17, DE</w:t>
      </w:r>
    </w:p>
    <w:p>
      <w:r>
        <w:rPr>
          <w:b/>
        </w:rPr>
        <w:t xml:space="preserve">Quelle: </w:t>
      </w:r>
      <w:r>
        <w:t>https://mcp.opencaselaw.ch/entscheid/bvger_E-5158_2024_d20240717</w:t>
      </w:r>
    </w:p>
    <w:p>
      <w:r>
        <w:t>FR: TAF E-5158/2024 du 17 juillet 2024</w:t>
      </w:r>
    </w:p>
    <w:p>
      <w:r>
        <w:t>IT: TAF E-5158/2024 del 17 luglio 2024</w:t>
      </w:r>
    </w:p>
    <w:p>
      <w:pPr>
        <w:pStyle w:val="Heading2"/>
      </w:pPr>
      <w:r>
        <w:t>Regeste</w:t>
      </w:r>
    </w:p>
    <w:p>
      <w:r>
        <w:t>Asyl und Wegweisung | Asyl und Wegweisung; Verfügung des SEM vom 17.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E-5158/2024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Wesentlichen mit der mangelnden asylrechtlichen Relevanz der Vorbrin- gen des Beschwerdeführers. Aus den eingereichten Justizdokumenten könne – soweit von deren Authentizität auszugehen sei – nicht darauf ge- schlossen werden, dass ihm bei seiner Rückkehr mit erheblicher Wahr- scheinlichkeit und in absehbarer Zukunft flüchtlingsrechtlich relevante Ver- folgung drohe. Gegen ihn seien wegen des Verdachts auf Terrorpropa- ganda Ermittlungs- beziehungsweise Untersuchungsverfahren eingeleitet, es sei aber (noch) kein Gerichtsverfahren eröffnet worden. Ermittlungsver- fahren würden in der Türkei in grosser Zahl aufgenommen, später aber auch häufig wieder eingestellt. Demnach sei im Zeitpunkt des Asylent- scheids offen, ob die Ermittlungsverfahren in absehbarer Zeit überhaupt zur Eröffnung eines Gerichtsverfahrens und einer späteren Verurteilung aus einem flüchtlingsrechtlich relevanten Motiv führen werde. Zwar könne nicht ausgeschlossen werden, dass die Behörden wegen seines Engage- ments bei der Halkların Eşitlik ve Demokrasi Partisi (HEDEP; seit Dezem- ber 2023: DEM-Partei) ein gewisses Interesse an ihm gehabt hätten; Hin- weise auf asylrechtlich relevante Verfolgung ergäben sich allerdings auch in diesem Zusammenhang nicht. Er sei kein Parteimitglied und habe sich nicht in exponierter Stellung für die Partei eingesetzt. Die geltend gemach- ten Benachteiligungen und Schikanen würden diejenigen, die ein Grossteil der kurdischen Bevölkerung in der Türkei erfahre, nicht übersteigen und somit ebenfalls keine asylrechtliche Relevanz entfalten.</w:t>
      </w:r>
    </w:p>
    <w:p>
      <w:r>
        <w:rPr>
          <w:b/>
        </w:rPr>
        <w:t>E. 5.2</w:t>
      </w:r>
    </w:p>
    <w:p>
      <w:r>
        <w:t>In seinem Rechtsmittel führte der Beschwerdeführer im Wesentlichen aus, er sei nicht nur von Alltagsdiskriminierung betroffen, zumal auch "Strafverfahren" gegen ihn eingeleitet worden seien. Er stehe unter behörd- licher Beobachtung und ihm drohe bei seiner Rückkehr unmenschliche Be- handlung. Ohnehin habe er in den Sozialen Medien lediglich auf Miss- stände hingewiesen – dass in diesem Zusammenhang nun gegen ihn er- mittelt werde, beschneide sein Recht auf freie Meinungsäusserung. Aus- serdem belaste seine Verfolgung seine Kinder psychisch und er wolle nicht, dass diese in einem diskriminierenden Umfeld aufwachsen müssten.</w:t>
      </w:r>
    </w:p>
    <w:p>
      <w:r>
        <w:t>E-5158/2024 Seite 6</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Der Vorinstanz ist darin zuzustimmen, dass weder die geltend gemach- ten Kontrollen noch die Vorbringen im Zusammenhang mit den eingereich- ten türkischen Justizdokumenten betreffend den Vorwurf der Propaganda für eine terroristische Organisation von asylrechtlicher Relevanz sind. Der Beschwerdeführer hat sich durch seine gelegentlichen Veranstaltungsteil- nahmen nicht in einer Weise politisch exponiert, die ein konkretes und an- haltendes Interesse der türkischen Sicherheitskräfte zu begründen ver- mocht hätte (vgl. SEM-act. A16 F89 f.). Weder die beiden polizeilichen Mit- nahmen und ein- bis zweistündige Festhaltungen – letztmals im August 2022 – noch die geschilderten fünf- bis sechsmaligen Haus- und Laden- durchsuchungen (die letzte soll sich im Januar 2023 ereignet haben), sind von asylrechtlich relevanter Intensität (vgl. a.a.O. F86, F91 ff. und F100 ff.).</w:t>
      </w:r>
    </w:p>
    <w:p>
      <w:r>
        <w:rPr>
          <w:b/>
        </w:rPr>
        <w:t>E. 6.3</w:t>
      </w:r>
    </w:p>
    <w:p>
      <w:r>
        <w:t>Sodann ergibt sich entgegen der Auffassung des Beschwerdeführers aus den eingereichten Beweismitteln – insbesondere den Vorführbefehlen zwecks Einvernahme (mit anschliessender Freilassung) – nicht, dass ihm bei einer Rückkehr mit beachtlicher Wahrscheinlichkeit eine langjährige Haftstrafe oder gar unmenschliche Behandlung droht. Derzeit ist offen, ob die Staatsanwaltschaft aufgrund der ihm vorgeworfenen Handlungen in den Sozialen Medien überhaupt Anklage erheben wird, ob das Gericht eine solche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erneut darauf hinzuweisen, dass der Be- schwerdeführer kein relevantes politisches Profil aufweist. Unter diesen Umständen ist nicht von einer ihm in absehbarer Zukunft mit erheblicher Wahrscheinlichkeit drohenden Verfolgung auszugehen (vgl. dazu etwa auch das Urteil des Bundesverwaltungsgerichts D-2121/2024 vom 30. Ap- ril 2024 E. 7.2 m.w.H.).</w:t>
      </w:r>
    </w:p>
    <w:p>
      <w:r>
        <w:t>E-5158/2024 Seite 7</w:t>
      </w:r>
    </w:p>
    <w:p>
      <w:r>
        <w:rPr>
          <w:b/>
        </w:rPr>
        <w:t>E. 6.4</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E-5158/2024 Seite 8</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kurdischen Arbeiterpartei (PKK) und staatlichen Sicherheitskräf- ten seit Juli 2015 in verschiedenen Provinzen im Südosten des Landes und der Entwicklungen nach dem versuchten Militärputsch im Juli 2016 ist ge- mäss konstanter Praxis des Bundesverwaltungsgerichts nicht von einer Si- tuation allgemeiner Gewalt oder von bürgerkriegsähnlichen Verhältnissen</w:t>
      </w:r>
    </w:p>
    <w:p>
      <w:r>
        <w:t>E-5158/2024 Seite 9 in der Türkei – auch nicht für Angehörige der kurdischen Ethnie – auszu- gehen (vgl. beispielsweise Urteile des BVGer D-2850/2020 vom 23. Januar 2024 E. 7.3.1 oder E-150/2024 vom 19. Januar 2024 E. 8.3.1, je m.w.H.). Bei der Heimatprovinz des Beschwerdeführers, B._______, handelt es sich sodann nicht um eine Provinz, bei der nach bundesverwaltungsgerichtli- cher Rechtsprechung von der generellen Unzumutbarkeit des Vollzugs von Wegweisungen auszugehen ist (vgl. BVGE 2013/2 E. 9.6 und das Refe- renzurteil E-1948/2018 vom 12. Juni 2018 E. 7.3.1).</w:t>
      </w:r>
    </w:p>
    <w:p>
      <w:r>
        <w:rPr>
          <w:b/>
        </w:rPr>
        <w:t>E. 8.3.2</w:t>
      </w:r>
    </w:p>
    <w:p>
      <w:r>
        <w:t>Schliesslich vermögen auch die verheerenden Auswirkungen der starken Erdbeben vom 6. Februar 2023 keine generelle Unzumutbarkeit des Wegweisungsvollzugs in die betroffene Heimatprovinz des Beschwer- deführers zu begründen (vgl. Referenzurteil des Bundesverwaltungsge- richts E-1308/2023 vom 19. März 2024 E. 11.3.1). Die Beurteilung der Zu- mutbarkeit von Wegweisungen in das betroffene Gebiet ist im Rahmen ei- ner einzelfallweisen Prüfung der individuellen Lebenssituation der Betroffe- nen vorzunehmen, wobei der Situation vulnerabler Personen gebührend Rechnung zu tragen ist.</w:t>
      </w:r>
    </w:p>
    <w:p>
      <w:r>
        <w:rPr>
          <w:b/>
        </w:rPr>
        <w:t>E. 8.3.3</w:t>
      </w:r>
    </w:p>
    <w:p>
      <w:r>
        <w:t>Der Beschwerdeführer macht keine gesundheitlichen Probleme gel- tend. Er verfügt neben einer abgeschlossenen Gymnasialausbildung über mehrere Jahre Berufserfahrung in unterschiedlichen Bereichen (vgl. SEM- act. A16 F15 und F19). Das Gebäude, in dem sich die Mietwohnung seiner Familie befunden habe, sei zwar durch die Erdbeben beschädigt worden; er und seine Frau und Kinder seien aber bei seinen Eltern untergekommen (vgl. SEM-act. A16 F11 f.). Darüber hinaus verfügt der Beschwerdeführer noch über zahlreiche weitere Verwandte, insbesondere Geschwister, in der Region. Der Vollzug der Wegweisung des Beschwerdeführers erweist sich demnach auch in individueller Hinsicht als zumutbar. Er hat den Erwägun- gen des SEM in seinem Rechtsmittel diesbezüglich denn auch nichts ent- gegengesetzt.</w:t>
      </w:r>
    </w:p>
    <w:p>
      <w:r>
        <w:rPr>
          <w:b/>
        </w:rPr>
        <w:t>E. 8.4</w:t>
      </w:r>
    </w:p>
    <w:p>
      <w:r>
        <w:t>Schliesslich verfügt der Beschwerdeführer über eine Identitätskarte und es obliegt ihm, sich bei der zuständigen Vertretung des Heimatstaates die für eine Rückkehr allenfalls weiteren notwendigen Reisedokumente zu beschaffen (vgl. Art. 8 Abs. 4 AsylG und dazu auch BVGE 2008/34 E. 12). Der Vollzug der Wegweisung ist damit auch als möglich zu bezeich- nen (Art. 83 Abs. 2 AIG).</w:t>
      </w:r>
    </w:p>
    <w:p>
      <w:r>
        <w:t>E-5158/2024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Mit dem vorliegenden Urteil ist das Beschwerdeverfahren abge- schlossen. Die mit der Beschwerde gestellten Gesuche um Gewährung der unentgeltlichen Prozessführung und amtliche Rechtsverbeiständung sind unbesehen der finanziellen Verhältnisse des Beschwerdeführers abzuwei- sen, da die Begehren gemäss den vorstehenden Erwägungen als aus- sichtslos zu bezeichnen waren und es daher an einer gesetzlichen Voraus- setzung zu deren Gewährung fehlt.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E-5158/2024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