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E-5151/2019 vom 14. Oktober 2019</w:t>
      </w:r>
    </w:p>
    <w:p>
      <w:r>
        <w:t>Bundesverwaltungsgericht, 2019-10-14, DE</w:t>
      </w:r>
    </w:p>
    <w:p>
      <w:r>
        <w:rPr>
          <w:b/>
        </w:rPr>
        <w:t xml:space="preserve">Quelle: </w:t>
      </w:r>
      <w:r>
        <w:t>https://mcp.opencaselaw.ch/entscheid/bvger_E-5151_2019</w:t>
      </w:r>
    </w:p>
    <w:p>
      <w:r>
        <w:t>FR: TAF E-5151/2019 du 14 octobre 2019</w:t>
      </w:r>
    </w:p>
    <w:p>
      <w:r>
        <w:t>IT: TAF E-5151/2019 del 14 ottobre 2019</w:t>
      </w:r>
    </w:p>
    <w:p>
      <w:pPr>
        <w:pStyle w:val="Heading2"/>
      </w:pPr>
      <w:r>
        <w:t>Regeste</w:t>
      </w:r>
    </w:p>
    <w:p>
      <w:r>
        <w:t>Asyl und Wegweisung (verkürzte Beschwerdefrist)</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das Asylgesuch des Beschwerdeführers gestützt auf Art. 40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als sichere Drittstaaten, in denen nach seinen Feststellungen Sicherheit vor Verfolgung herrscht.</w:t>
      </w:r>
    </w:p>
    <w:p>
      <w:r>
        <w:rPr>
          <w:b/>
        </w:rPr>
        <w:t>E. 5.2</w:t>
      </w:r>
    </w:p>
    <w:p>
      <w:r>
        <w:t>Die Vorbringen des Beschwerdeführers befand die Vorinstanz als nicht glaubhaft, weshalb er die Flüchtlingseigenschaft nicht erfülle. Seine Aussagen bezüglich seinen Problemen mit den Opferfamilien seien divergierend zu den Ausführungen seines Vaters und seines Bruders C._______. Sein Vater und C._______ hätten anlässlich der Befragung durch einen Mitarbeiter der Schweizer Botschaft ausgeführt, die Opferfamilien seien nicht Verursacher der Probleme des Beschwerdeführers. Sein Vater habe geltend gemacht, der Beschwerdeführer habe Probleme mit Cousins gehabt. C._______ habe erklärt, die Familie sei von Nachbarn in D._______ unter Druck gesetzt worden. Woher die Gewalt gegen den Beschwerdeführer komme, wisse er nicht. Auf die Divergenzen angesprochen habe der Beschwerdeführer ausgeführt, sein Vater habe seit dem Ereignis im Jahr 2002 psychische Schwierigkeiten und habe zweimal operiert werden müssen. C._______ habe weiter ausgeführt, fünf Onkel väterlicherseits zu haben, welche alle mindestens einen Sohn hätten. Auch der verstorbene Onkel F._______ habe einen Sohn. Keiner der noch lebenden Onkel habe je irgendwelche Probleme gehabt. Ein Onkel habe seinen Namen geändert. Der Beschwerdeführer habe auf die Frage, weshalb sich die Opferfamilie nicht an einem dieser Söhne gerächt habe, ausgeführt, die Kinder des Onkels F._______ (drei Söhne und eine Tochter) könnten nicht aus dem Haus gehen. Ein Onkel habe seinen Namen geändert, weil er eine Baufirma habe und ansonsten keine Aufträge mehr erhalten hätte, wenn er mit einem Mörder in Verbindung gebracht werde. Unterschiedlich seien auch die Ausführungen zum Verhalten der Polizei ausgefallen. Der Beschwerdeführer habe geltend gemacht, er und auch seine Brüder seien von der Polizei geschlagen worden. C._______ hingegen habe ausgeführt, es sei von Seiten der Polizei lediglich psychischer Druck ausgeübt worden, um das Verfahren schnell abzuschliessen. Er selbst habe nie Probleme mit den Behörden gehabt. Unterschiedlich ausgefallen seien auch die Ausführungen zum Leben des Beschwerdeführers nach dem Vorfall im Jahr 2002. Er habe ausgeführt, 17 Jahre zu Hause isoliert gelebt zu haben. C._______ habe hingegen erzählt, der Beschwerdeführer habe bis ins Jahr 2012/2013 in einer Fensterfabrik gearbeitet und sei danach zu seinem Vater gezogen. Auch habe C._______ ausgeführt, vor seiner Ausreise habe der Beschwerdeführer zwei Wochen bei der Mutter in D._______ gelebt. Darauf angesprochen habe der Beschwerdeführer erklärt, sein Bruder habe mentale Schwierigkeiten wegen des Vorfalls mit dem Onkel. Aufgrund der widersprüchlichen Aussagen zu verschiedenen zentralen Vorbringen könne nicht geglaubt werden, dass die Familien der Opfer sich zufolge der Tat des Onkels F._______ im Jahr 2002 am Beschwerdeführer hätten rächen wollen. Die eingereichten Dokumente würden belegen, dass er im August 2013 tätlich angegriffen worden sei, gegen diese Person ein Strafverfahren eröffnet worden sei und er sich in ärztliche Behandlung habe begeben müssen. An der Unglaubhaftigkeit seiner Vorbringen würden diese Beweismittel jedoch nichts zu ändern vermögen.</w:t>
      </w:r>
    </w:p>
    <w:p>
      <w:r>
        <w:rPr>
          <w:b/>
        </w:rPr>
        <w:t>E. 5.3</w:t>
      </w:r>
    </w:p>
    <w:p>
      <w:r>
        <w:t>In seiner Beschwerde bekräftigt der Beschwerdeführer seine vorgebrachten Asylvorbringen. Die Widersprüche der Aussagen seines Vaters zu seinen eigenen habe er entgegen der Ansicht der Vorinstanz nicht lediglich mit den psychischen Schwierigkeiten seines Vaters erklärt. Wie bereits an der Anhörung geltend gemacht, wisse er nicht, wer die Personen beauftragt habe, um ihm zu schaden. Es liege diesbezüglich kein Widerspruch vor. Sein Bruder getraue sich nicht, Vorwürfe gegenüber einer Behörde in Albanien zu erheben. Es sei in Albanien äusserst gefährlich, negativ über Polizeibeamte zu sprechen. Er habe hier in der Schweiz freier sprechen können als sein Bruder in Albanien. Sein Bruder habe deshalb die Misshandlungen durch die Polizei nicht bejaht. Die Gerichtsakten und Arztberichte sowie die Aussagen seines Vaters und Bruders würden seine Probleme in Albanien bestätigen. Er wisse nicht, wer genau die Gewalt direkt ausgeübt habe und wer den Auftrag dazu gegeben habe. Unbestritten bleibe die Gewalt selbst und diese habe ihn zur Flucht bewogen. Die Vorinstanz habe seine Bedrohungslage nicht bestritten. Stossend sei, dass sie sein Asylgesuch zufolge nebensächlicher Widersprüche abgelehnt habe, ohne weitere Abklärungen zu treffen.</w:t>
      </w:r>
    </w:p>
    <w:p>
      <w:r>
        <w:rPr>
          <w:b/>
        </w:rPr>
        <w:t>E. 6.1</w:t>
      </w:r>
    </w:p>
    <w:p>
      <w:r>
        <w:t>Die Vorinstanz ist in ihren Erwägungen zur zutreffenden Erkenntnis gelangt, die vom Beschwerdeführer geltend gemachten Verfolgungsvorbringen würden den Anforderungen an die Glaubhaftigkeit nicht genügen, weshalb er die Flüchtlingseigenschaft nicht erfülle. Auf die Erwägungen der Vorinstanz und auf die Zusammenfassung unter E. 5.1 kann zur Vermeidung von Wiederholungen verwiesen werden. Sie sind in keinem Punkt zu beanstanden. Der Beschwerdeführer machte in den Anhörungen unter anderem widersprüchliche Angaben zur Anzahl der Söhne des Onkels F._______. Bei der ersten Anhörung gab er an, alle Onkel würden nur Töchter haben und sie wären die einzige Familie mit Söhnen (vgl. act. A20 F61 und F80). Anlässlich der Weiterführung der Anhörung führte er hingegen aus, F._______ habe drei Söhne und eine Tochter (vgl. act. A27 F15). In der Beschwerde vermag der Beschwerdeführer die Widersprüche in seinen eigenen Aussagen sowie zu denjenigen seines Bruders und seines Vaters nicht aufzulösen. Während er anlässlich der Anhörung noch ausführte, die gegnerische Familie bezahle Personen, um ihn und seine Familie umzubringen (vgl. A20 F15), macht er auf Beschwerdeebene geltend, nicht zu wissen, wer den Auftrag zu seiner Schädigung erteilt habe. Weiter führte er zuerst aus, zum Zeitpunkt seiner Ausreise sei sein Haus von Angehörigen der Familie des Opfers 24 Stunden lang bewacht worden (vgl. act. A20 F88). Später machte er geltend, das Haus sei nur bis ins Jahr 2005 bewacht worden (vgl. act. A27 F34). In einer Gesamtwürdigung ist nicht davon auszugehen, dass der Beschwerdeführer Gefahr läuft, Opfer einer Blutrache wegen seines Onkels F._______ zu werden. Bei Albanien handelt es sich sodann um einen verfolgungssicheren Staat im Sinne von Art. 6a Abs. 2 Bst. a AsylG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 Grund konkreter und substantiierter Hinweise diese Regelvermutung umgestossen werden kann (vgl. u.a. Urteil des BVGer E-416/2019 vom 30. Januar 2019 E. 5.4). Solche Hinweise gegen diese Regelvermutung vermochte der Beschwerdeführer nicht geltend zu machen. Vielmehr geht aus seinen Darstellungen hervor, dass er sich nach der gewaltsamen Auseinandersetzung im Jahr 2013 an die albanischen Behörden gewandt hat und danach ein Gerichtsverfahren durchgeführt worden ist.</w:t>
      </w:r>
    </w:p>
    <w:p>
      <w:r>
        <w:rPr>
          <w:b/>
        </w:rPr>
        <w:t>E. 6.2</w:t>
      </w:r>
    </w:p>
    <w:p>
      <w:r>
        <w:t>Zusammenfassend hat der Beschwerdeführer nichts vorgebracht, was geeignet wäre, seine Flüchtlingseigenschaft nachzuweisen oder zumindest glaubhaft zu machen. Die Vorinstanz hat sein Asylgesuch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sich aus den Akten keine Anhaltspunkte dafür ergeben, dem Beschwerdeführer würde im Falle einer Rückkehr nach Albanien mit beachtlicher Wahrscheinlichkeit eine durch Art. 3 EMRK verbotene Strafe oder Behandlung drohen. Der Vollzug der Wegweisung ist zulässig.</w:t>
      </w:r>
    </w:p>
    <w:p>
      <w:r>
        <w:rPr>
          <w:b/>
        </w:rPr>
        <w:t>E. 8.3</w:t>
      </w:r>
    </w:p>
    <w:p>
      <w:r>
        <w:t>Weder die allgemeine Lage in Albanien noch individuelle Gründe lassen auf eine konkrete Gefährdung des Beschwerdeführers im Falle einer Rückkehr schliessen. Der Beschwerdeführer ist jung, verfügt über Schulbildung und Arbeitserfahrung. Seine Familie lebt in Albanien und ist im Besitz von drei Häusern. Es ist davon auszugehen, dass die Familie dem Beschwerdeführer bei der Wiedereingliederung behilflich sein wird. Den diversen Arztberichten sind keine gravierenden gesundheitlichen Probleme zu entnehmen. Nach dem Gesagten erweist sich der Vollzug der Wegweisung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