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E-5143/2023 vom 29. September 2023</w:t>
      </w:r>
    </w:p>
    <w:p>
      <w:r>
        <w:t>Bundesverwaltungsgericht, 2023-09-29, DE</w:t>
      </w:r>
    </w:p>
    <w:p>
      <w:r>
        <w:rPr>
          <w:b/>
        </w:rPr>
        <w:t xml:space="preserve">Quelle: </w:t>
      </w:r>
      <w:r>
        <w:t>https://mcp.opencaselaw.ch/entscheid/bvger_E-5143_2023</w:t>
      </w:r>
    </w:p>
    <w:p>
      <w:r>
        <w:t>FR: TAF E-5143/2023 du 29 septembre 2023</w:t>
      </w:r>
    </w:p>
    <w:p>
      <w:r>
        <w:t>IT: TAF E-5143/2023 del 29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Vorliegend ist den Akten zu entnehmen, dass die Beschwerdeführenden am 5. April 2023 als Asylsuchende registriert wurden. Das SEM ersuchte deshalb die kroatischen Behörden am 11. August 2023 um Wiederaufnahme der Beschwerdeführenden gestützt auf Art. 18 Abs. 1 Bst. b Dublin-III-VO. Die kroatischen Behörden nahmen innerhalb der in Art. 25 Abs. 1 Dublin-III-VO vorgesehenen Frist keine Stellung und stimmten dem Wiederaufnahmeersuchen somit implizit zu.</w:t>
      </w:r>
    </w:p>
    <w:p>
      <w:r>
        <w:rPr>
          <w:b/>
        </w:rPr>
        <w:t>E. 5.2</w:t>
      </w:r>
    </w:p>
    <w:p>
      <w:r>
        <w:t>Der Einwand der Beschwerdeführenden, sie hätten in Kroatien nicht um Asyl ersucht, ist bezüglich der Zuständigkeitsfrage unbehelflich, da bereits die von den Beschwerdeführenden nicht bestrittene Einreise in das Hoheitsgebiet der Dublin-Staaten die Zuständigkeit Kroatiens für die Durchführung des Asyl- und Wegweisungsverfahrens begründet (Art. 18 Abs. 1 Bst. a Dublin-III-VO).</w:t>
      </w:r>
    </w:p>
    <w:p>
      <w:r>
        <w:rPr>
          <w:b/>
        </w:rPr>
        <w:t>E. 5.3</w:t>
      </w:r>
    </w:p>
    <w:p>
      <w:r>
        <w:t>Die grundsätzliche Zuständigkeit Kroatiens für die Durchführung des Asyl- und Wegweisungsverfahrens der Beschwerdeführenden ist somit gegeben. Der Wunsch der Beschwerdeführenden um Verbleib in der Schweiz vermag daran nichts zu ändern, zumal die Dublin-III-VO den Schutzsuchenden kein Recht einräumt, den ihren Antrag prüfenden Staat selber auszuwählen (vgl. auch BVGE 2010/40 E. 8.3). Mit dem Hinweis auf den in der Schweiz wohnhaften, nicht zur Kernfamilie gehörenden Bruder des Beschwerdeführers Verwandten vermögen die Beschwerdeführenden keine Ansprüche aus Art. 16 Abs. 1 Dublin-III-VO darzulegen.</w:t>
      </w:r>
    </w:p>
    <w:p>
      <w:r>
        <w:rPr>
          <w:b/>
        </w:rPr>
        <w:t>E. 5.4</w:t>
      </w:r>
    </w:p>
    <w:p>
      <w:r>
        <w:t>Die Verpflichtung zur Wiederaufnahme erlischt und ein neues Verfahren zur Bestimmung des zuständigen Mitgliedstaates wird ausgelöst, wenn der zuständige Mitgliedstaat nachweist, dass der Antragsteller das Hoheitsgebiet der Mitgliedstaaten für mindestens drei Monate verlassen hat (Art. 19 Abs. 2 Dublin-III-VO). Praxisgemäss kann auch der Asylgesuchstellende das Erlöschen der Kompetenz geltend machen. In BVGE 2015/41 (E. 7 - 7.3,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In dieser Hinsicht einschlägig sind die Beweiswürdigungsbestimmungen von Art. 22 Abs. 2 ff. Dublin-III-VO, welche festlegen, dass im Verfahren zur Bestimmung des zuständigen Dublin-Staates Beweismittel und Indizien verwendet werden (Abs. 2), wobei sie sodann den Begriff der Beweismittel und der Indizien definieren und feststellen, dass eine Durchführungsverordnung die sachdienlichen Beweismittel und Indizien festlegen soll (Abs. 3; vgl.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[Dublin-II-VO]). Liegen keine förmlichen Beweismittel gemäss Art. 22 Abs. 3 Bst. a/i Dublin-III-VO vor, hat der ersuchte Mitgliedstaat gemäss Art. 22 Abs. 5 Dublin-III-VO seine Zuständigkeit anzuerkennen, wenn die Indizien im Sinne von Art. 22 Abs. 3 Bst. b/i Dublin-III-VO kohärent, nachprüfbar und hinreichend detailliert sind. Anhang II, Verzeichnis A: Kapitel II.3. der Durchführungsverordnung listet die Beweismittel, Anhang II, Verzeichnis B: Kapitel II.3. mögliche Indizien für eine Ausreise aus dem Hoheitsgebiet der Mitgliedstaaten auf. Schliesslich bestimmt Art. 22 Abs. 4 Dublin-III-VO, dass das Beweiserfordernis nicht über das für die ordnungsgemässe Anwendung dieser Verordnung erforderliche Mass hinausgehen soll, und legt damit, soweit für das Funktionieren des Dublin-Systems notwendig, - wie bereits zuvor erwähnt - ein reduziertes Beweismass fest (vgl. Urteil des BVGer E-4309/2022 vom 29. November 2022 E. 6.1).</w:t>
      </w:r>
    </w:p>
    <w:p>
      <w:r>
        <w:rPr>
          <w:b/>
        </w:rPr>
        <w:t>E. 5.4.1</w:t>
      </w:r>
    </w:p>
    <w:p>
      <w:r>
        <w:t>Als Beleg für den behaupteten dreimonatigen Aufenthalt in Montenegro reichten die Beschwerdeführenden Abrechnungen eines Hotels in G._______ (Montenegro) und Fotografien von vier Einkaufsbelegen ein.</w:t>
      </w:r>
    </w:p>
    <w:p>
      <w:r>
        <w:rPr>
          <w:b/>
        </w:rPr>
        <w:t>E. 5.4.2</w:t>
      </w:r>
    </w:p>
    <w:p>
      <w:r>
        <w:t>Hierzu hielt das SEM in der angefochtenen Verfügung fest, dass die in den Hotelabrechnungen aufgeführten Rechnungsbeträge (20 Euro pro Nacht) realitätsfremd seien. Gemäss Recherche betrage der Preis für ein Zimmer in Zweierbelegung im genannten Hotel vielmehr rund 84 Euro. Dass die Beschwerdeführenden für die Unterbringung von sechs Personen durchschnittlich lediglich 20 Euro pro Nacht bezahlt hätten, erscheine sodann nicht plausibel. Überdies seien solche Abrechnungen leicht fälschbar. Zudem sei anzumerken, dass die Beschwerdeführerin angegeben habe, dass sich das Hotel in I._______ befunden habe. Das auf den eingereichten Abrechnungen aufgeführte Hotel befinde sich jedoch in G._______, das rund 240 km von I._______ entfernt liege. Diese Tatsache verstärke die Zweifel des SEM an der Echtheit der eingereichten Hotelbelege. Weiter seien die Einkaufsbelege nicht zum Nachweis geeignet, dass die Beschwerdeführenden selber tatsächlich vor Ort gewesen seien und die Einkäufe getätigt hätten, handle es sich doch hierbei um nicht personalisierte Quittungen, welche überdies auch keinen durchgehenden Aufenthalt von drei Monaten belegen würden. Somit sei es den Beschwerdeführenden nicht gelungen, den geltend gemachten Aufenthalt von drei Monaten ausserhalb des Hoheitsgebiets der Mitgliedstaaten zu belegen oder glaubhaft zu machen.</w:t>
      </w:r>
    </w:p>
    <w:p>
      <w:r>
        <w:rPr>
          <w:b/>
        </w:rPr>
        <w:t>E. 5.4.3</w:t>
      </w:r>
    </w:p>
    <w:p>
      <w:r>
        <w:t>In der Beschwerde wurde (unter Einreichung der entsprechenden Screenshots Google Maps) unter anderem entgegnet, die Behauptung der Vorinstanz, dass der Ort I._______ 240 Kilometer vom Ort G._______ entfernt liege, sei unzutreffend. Vielmehr befinde sich das betreffende Hotel im Ortsteil I._______ im Dorf J._______. Die Beschwerdeführenden hätten keine falschen Ortsangaben über das Hotel gemacht. Hinsichtlich des von der Vorinstanz bezweifelten durchschnittlichen Übernachtungspreises sei darauf hinzuweisen, dass die Monate April bis anfangs Juli mehrheitlich in die touristische Nebensaison fallen würden und damit vermutlich tiefer seien. Zudem vermute der Beschwerdeführer, dass sich im Hotel Schlepper mit einer engen Beziehung zum Hotelpersonal befunden hätten. In einem Telefongespräch habe der Hotelmanager ausserdem den Aufenthalt der Familie bestätigt. Gemäss einer Whatsapp vom 21. September 2023 (vgl. Screenshot Whatsapp) bestätige ein Mitarbeiter des Hotels, der für die Betreuung der Beschwerdeführenden zuständig gewesen sei, dass die Beschwerdeführenden «soweit er sich erinnere, drei Monate im Hotel geblieben seien». Die Vorinstanz zweifle somit ohne Grund an der Echtheit der eingereichten Hotelabrechnungen. Daran ändere nichts, dass auf der Hotelabrechnung für die Periode vom 31. Juni 2023 bis 9. Juli 2023 ein falsches Datum aufgeführt sei. Dies könnte auf einen vermutlich manuellen Fehler bei der Rechnungsstellung zurückgeführt werden. Bei den eingereichten Hotelabrechnungen handle es sich um echte Quittungen, welche einen Aufenthalt in Montenegro belegen würden. Schliesslich stammten drei der vier Kaufbelege aus einem Laden, der sich zirka 70 Meter vom Hotel entfernt befinde. Als Fazit sei festzuhalten, dass die eingereichten Belege zwar im Einzelnen den ununterbrochenen dreimonatigen Aufenthalt der Beschwerdeführenden in Montenegro nicht beweisen könnten, jedoch als positive Glaubhaftigkeitselemente zu werten seien. Die Vorinstanz habe einen zu strengen Beweismassstab angewendet und es zudem unterlassen, den Sachverhalt richtig und vollständig zu erfassen. Daher sei eventualiter die Sache wegen Verletzung des rechtlichen Gehörs (den Beschwerdeführenden sei auch nicht Gelegenheit gegeben worden, vor Ergehen des Entscheides zu den vorgebrachten Zweifeln Stellung zu beziehen) zur vollständigen Feststellung des Sachverhalts und zur Neubeurteilung an die Vorinstanz zurückzuweisen.</w:t>
      </w:r>
    </w:p>
    <w:p>
      <w:r>
        <w:rPr>
          <w:b/>
        </w:rPr>
        <w:t>E. 5.4.4</w:t>
      </w:r>
    </w:p>
    <w:p>
      <w:r>
        <w:t>Wie nachfolgend aufgezeigt wird, sind die Schlussfolgerungen der Vorinstanz im Resultat nicht zu beanstanden. Vorab ist festzuhalten, dass sich die Parteibehauptung der Beschwerdeführenden, sie hätten sich über drei Monate in Montenegro aufgehalten, praktisch ausschliesslich auf eine einzige Indizienquelle abstützt; nämlich auf die eingereichten Hoteldokumente. Wie die Vorinstanz bereits zutreffend ausgeführt hat, erweisen sich solche Dokumente als fälschungsanfällig. Auf Papierurkunden ist es problemlos möglich, die aufgeführten Personalien auszutauschen und hierdurch einen Aufenthalt einer Person zu suggerieren. Im Lichte der einfachen Fälschbarkeit solcher Dokumente ist daher für einen rechtserheblichen Beweiswert unabdingbar, dass die Umstände der Ausstellung sowie die in den Papieren verbrieften Inhalte stimmig sind und keinerlei Anlass zu Beanstandungen geben. Entsprechendes liegt in casu jedoch in mehrfacher Hinsicht nicht vor. Wie die Beschwerdeführenden selber einräumen, weisen die Dokumente zunächst Unstimmigkeiten hinsichtlich der Datierungen auf (vgl. Beschwerde Seite 8). Die hierzu vorgetragenen Erklärungsversuche vermögen diese nicht befriedigend zu beseitigen. Weiter kommt hinzu, dass auch die aufgeführten Preise offen mit den aus öffentlich zugänglichen Quellen vergleichbaren Tarifen kontrastieren (vgl. Verfügung SEM Seite 3). Auch diese Unstimmigkeiten können nicht schlüssig erklärt werden. Zusätzlich sind auch in Bezug auf die Ausstellung der Dokumente klare Einschränkungen anzubringen. So führen die Beschwerdeführenden selber aus, dass in dem betroffenen Betrieb "die Schlepper und das Hotelpersonal eine enge Beziehung" gepflegt hätten (vgl. Beschwerde Seite 6). Weiter stellt er auch allfällige "unsauberen Geschäfte" des Hotels in den Raum (vgl. a.a.O. Seite 7). Damit räumen die Beschwerdeführenden selber ein, dass eine Kooperation mit Schleppern bestünde (vgl. a.a.O. Seite 8) und der Betrieb allfällig geneigt sein könnte, aus opportunistischen Gründen deren Handeln illegitim zu unterstützen. Es versteht sich von selbst, dass in diesem Lichte, solchen Papieren und allfällige Bestätigungen nur ein sehr reduzierter Beweiswert zukommen kann und diese für sich alleine die Parteibehauptungen nicht rechtsgenügend zu belegen vermögen. Vor diesem Hintergrund kommt den übrigen Sachverhaltsumständen des behaupteten Aufenthalts eine gesteigerte Bedeutung zu. Auch diese lassen jedoch einen tatsächlichen Aufenthalt als wenig wahrscheinlich erscheinen. So fällt zunächst auf, dass die Beschwerdeführenden sich zwar mehrere Monate am genau gleichen Ort aufgehalten und permanent im gleichen Hotel logiert haben wollen, jedoch eigentlich keinerlei Kenntnisse zu Ort und Umgebung aufzuweisen vermögen. Trotz angeblich mehrmonatigem Aufenthalt vermochte der Beschwerdeführer auf Nachfrage hin nicht einmal den Namen des Ortes zu benennen (vgl. act. 33/2). Weiter kommt hinzu, dass die Beschwerdeführenden - ausser den angeblichen Hoteldokumenten - keinerlei übrige validen Indizien vorzuweisen vermögen, die einen mehrmonatigen Aufenthalt gemeinhin charakterisieren. So vermögen sie weder ein einziges Bild oder ein einziges Foto vorzuweisen, noch vermögen sie irgendwelche Angaben zu Erlebnissen, Örtlichkeiten, charakteristischen Bauten oder ähnliches zu tätigen, noch liegen personalisierte Dokumente (beispielsweise Kreditkartenabrechnungen) vor. Entsprechendes erscheint bei Personen, die sich tatsächlich ein Vierteljahr lang in dieser Weise an einem einzigen Ort aufgehalten hätten, als kaum realitätsnah. Die Dauer des behaupteten Aufenthalts kontrastiert somit augenscheinlichen mit dem Fehlen von praktisch jedwelchen Lebenszeichen. Zusammenfassend ist festzuhalten, dass der behauptete Aufenthalt primär auf ein Indiz (Hoteldokumente) im Sinne des Anhang II der Durchführungsverordnung fusst, diesem jedoch aus vorgenannten Gründen alleine kein rechtserheblicher Beweiswert beigemessen werden kann; ansonsten jedoch keine validen Indizien erkennbar sind, die einen tatsächlichen Aufenthalt nahelegen könnten. Vor dem aufgezeigten Hintergrund liegen in casu also gerade keine Umstände vor, wonach die Indizien einen Aufenthalt «kohärent, nachprüfbar und hinreichend detailliert» belegen könnten. Zusätzlich kommt hinzu, dass - wie das SEM bereits darauf hingewiesen hat - die entsprechenden Belege auch an den zuständigen Mitgliedstaat Kroatien übermittelt wurde, dieser jedoch gar nicht erst nicht geltend machte, es lägen Umstände im Sinne von Art. 19 Abs. 2 Dublin-III-VO (vgl. act. 37/5). Ein Nachweisversuch des zuständigen Mitgliedstaats, dass die Antragsteller das Hoheitsgebiet der Mitgliedstaaten für mindestens drei Monate verlassen hätten (Art. 19 Abs. 2 Dublin-III-VO), liegt also nicht vor.</w:t>
      </w:r>
    </w:p>
    <w:p>
      <w:r>
        <w:rPr>
          <w:b/>
        </w:rPr>
        <w:t>E. 5.4.5</w:t>
      </w:r>
    </w:p>
    <w:p>
      <w:r>
        <w:t>Aus den vorgenannten Gründen ist die Schlussfolgerung der Vorinstanz insgesamt im Resultat nicht zu beanstanden. Die grundsätzliche staatsvertragliche Zuständigkeit Kroatiens zur Durchführung des Asyl- und Wegweisungsverfahrens ist daher nicht erloschen.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Verfahrensrichtlinie sowie der Richtlinie des Europäischen Parlaments und des Rates 2013/33/EU vom 26. Juni 2013 zur Festlegung von Normen für die Aufnahme von Personen, die internationalen Schutz beantragen (sog. Aufnahmerichtlinie) ergeben.</w:t>
      </w:r>
    </w:p>
    <w:p>
      <w:r>
        <w:rPr>
          <w:b/>
        </w:rPr>
        <w:t>E. 6.2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6.3</w:t>
      </w:r>
    </w:p>
    <w:p>
      <w:r>
        <w:t>Auch unter Berücksichtigung der von den Beschwerdeführenden geschilderten Erlebnisse ist nicht davon auszugehen, Kroatien verstosse systematisch gegen seine völkerrechtlichen Verpflichtungen. Die von den Beschwerdeführenden geltend gemachte schlechte Behandlung rechtfertigt es nicht, davon auszugehen, dass sie bei einer Rückkehr mit hoher Wahrscheinlichkeit Opfer einer unmenschlichen oder erniedrigenden Behand-lung im Sinn von Art. 3 EMRK, Art. 3 FoK oder Art. 4 EU-Grundrechte-charta würden. Sie vermochten keine individuellen Umstände geltend zu machen, gestützt auf welche sich die Annahme rechtfertigen würde, Kroatien würde ihnen dauerhaft die ihnen gemäss Aufnahmerichtlinie zustehenden minimalen Lebensbedingungen - insbesondere auch hinsichtlich der medizinischen Versorgung oder der Unterbringung - vorenthalten. Bei einer allfälligen vorübergehenden Einschränkung könnten sie sich nötigenfalls an die dortigen Behörden wenden und die ihnen zustehenden Aufnahmebedingungen auf dem Rechtsweg einfordern (vgl. Art. 26 Aufnahmerichtlinie). Im Übrigen ergeben sich aus den Akten keine schlüssigen Anhaltspunkte dafür, dass das in der Beschwerde angerufene Recht des Beschwerdeführers auf Rehabilitation gemäss Art. 14 FoK und 16 FoK in Kroatien verletzt würde.</w:t>
      </w:r>
    </w:p>
    <w:p>
      <w:r>
        <w:rPr>
          <w:b/>
        </w:rPr>
        <w:t>E. 6.4</w:t>
      </w:r>
    </w:p>
    <w:p>
      <w:r>
        <w:t>Nach dem Gesagten ist die Anwendung von Art. 3 Abs. 2 Dublin-III-VO nicht gerechtfertigt.</w:t>
      </w:r>
    </w:p>
    <w:p>
      <w:r>
        <w:rPr>
          <w:b/>
        </w:rPr>
        <w:t>E. 7.1</w:t>
      </w:r>
    </w:p>
    <w:p>
      <w:r>
        <w:t>Die Beschwerdeführenden bringen vor, sie seien in Kroatien schlecht behandelt worden. So sei dem Beschwerdeführer der rechte Arm verdreht worden. Sie hätten daher Zweifel, ob sie bei einer Rückkehr in ein rechtsstaatliches Asylverfahren geführt würden.</w:t>
      </w:r>
    </w:p>
    <w:p>
      <w:r>
        <w:rPr>
          <w:b/>
        </w:rPr>
        <w:t>E. 7.2</w:t>
      </w:r>
    </w:p>
    <w:p>
      <w:r>
        <w:t>Das Bundesverwaltungsgericht anerkennt angesichts der geschilderten Erlebnisse und den Ausführungen in der Beschwerdeeingabe, dass das Verhalten der kroatischen Grenzbehörden und die Behandlung von Asylsuchenden im Rahmen der Erstaufnahme bis zur Gesuchstellung in Kroatien teilweise problematisch erscheinen mag. Die Beschwerdeführenden konnten jedoch nicht darlegen, dass die ihnen bei einer Rückführung im Rahmen des Dublin-Verfahrens nach Kroatien erwartenden Bedingungen derart schlecht sind, dass diese zu einer Verletzung von Art. 3 EMRK führen könnten. Ferner ist auch zu berücksichtigen, dass die Beschwerdeführenden bereits kurze Zeit nach ihrem Asylgesuch Kroatien wieder verlassen haben und weitergereist sind. Ihre Angaben, wonach sie während dieses wenige Tage dauernden Aufenthalts in Kroatien unzureichend behandelt worden seien, lässt nicht den Schluss zu, es würde ihnen im Falle einer Rücküberstellung nach Kroatien dauerhaft die gemäss Aufnahmerichtlinie zustehenden Lebensbedingungen vorenthalten.</w:t>
      </w:r>
    </w:p>
    <w:p>
      <w:r>
        <w:rPr>
          <w:b/>
        </w:rPr>
        <w:t>E. 7.3</w:t>
      </w:r>
    </w:p>
    <w:p>
      <w:r>
        <w:t>Dem Akten zufolge leiden die Beschwerdeführenden nicht an gravierenden Gesundheitsproblemen. Nach den Akten wurden alle Beschwerdeführenden wegen Scabies behandelt. Die Tochter D._______ wurde gemäss dem ärztlichen Bericht der K._______ vom (...) wegen Kopfschmerzen und einer Lymphknotenschwellung behandelt. Der Beschwerdeführer leide an Schulterschmerzen, welche ebenfalls behandelt worden seien. Aufgrund der Aktenlage sind die genannten gesundheitlichen Beschwerden offensichtlich nicht derart schwerwiegend, dass davon ausgegangen werden müsste, die Beschwerdeführenden könnten nicht auch in Kroatien adäquat behandelt werden, wo grundsätzlich eine durchaus ausreichende medizinische Infrastruktur zur Verfügung steht (vgl. insbes. Referenzurteil E-1488/2020 a.a.O. E. 10.2, statt vieler das Urteil BVGer E-2952/2023 vom 31. Mai 2023 E. 7.3, je m.w.H.).</w:t>
      </w:r>
    </w:p>
    <w:p>
      <w:r>
        <w:rPr>
          <w:b/>
        </w:rPr>
        <w:t>E. 7.4</w:t>
      </w:r>
    </w:p>
    <w:p>
      <w:r>
        <w:t>Mit der Vorinstanz ist im Weiteren festzustellen, dass Kroatien Signatarstaat der KRK ist und seinen daraus erwachsenen Verpflichtungen grundsätzlich nachkommt, weshalb eine Überstellung nach Kroatien weder eine Verletzung von Art. 3 KRK noch Art. 3 EMRK bedeutet.</w:t>
      </w:r>
    </w:p>
    <w:p>
      <w:r>
        <w:rPr>
          <w:b/>
        </w:rPr>
        <w:t>E. 7.5</w:t>
      </w:r>
    </w:p>
    <w:p>
      <w:r>
        <w:t>Zusammenfassend ist festzuhalten, dass kein Grund für die Anwendung der Ermessensklauseln von Art. 17 Dublin-III-VO oder von Art. Art. 29a Abs. 3 AsylV 1 vorliegen. Kroatien ist somit zuständiger Mitgliedstaat gemäss Dublin-III-VO und ist verpflichtet, die Beschwerdeführenden aufzunehmen.</w:t>
      </w:r>
    </w:p>
    <w:p>
      <w:r>
        <w:rPr>
          <w:b/>
        </w:rPr>
        <w:t>E. 8</w:t>
      </w:r>
    </w:p>
    <w:p>
      <w:r>
        <w:t>Das SEM ist demnach zu Recht in Anwendung von Art. 31a Abs. 1 Bst. b AsylG auf die Asylgesuche nicht eingetreten und hat in Anwendung von Art. 44 AsylG folgerichtig die Überstellung nach Kroatien angeordnet.</w:t>
      </w:r>
    </w:p>
    <w:p>
      <w:r>
        <w:rPr>
          <w:b/>
        </w:rPr>
        <w:t>E. 9</w:t>
      </w:r>
    </w:p>
    <w:p>
      <w:r>
        <w:t>Die angefochtene Verfügung verletzt demnach Bundesrecht nicht und ist auch sonst nicht zu beanstanden. Die Beschwerde ist abzuweisen und die Verfügung der Vorinstanz zu bestätigen.</w:t>
      </w:r>
    </w:p>
    <w:p>
      <w:r>
        <w:rPr>
          <w:b/>
        </w:rPr>
        <w:t>E. 10.1</w:t>
      </w:r>
    </w:p>
    <w:p>
      <w:r>
        <w:t>Mit dem Entscheid in der Hauptsache sind die Gesuche um Erteilung der aufschiebenden Wirkung und um Verzicht auf die Erhebung eines Kostenvorschusses gegenstandslos geworden. Der am 25. September 2023 angeordnete Vollzugsstopp fällt dahin.</w:t>
      </w:r>
    </w:p>
    <w:p>
      <w:r>
        <w:rPr>
          <w:b/>
        </w:rPr>
        <w:t>E. 10.2</w:t>
      </w:r>
    </w:p>
    <w:p>
      <w:r>
        <w:t>Das mit der Beschwerde gestellte Gesuch um Gewährung der unentgeltlichen Prozessführung ist abzuweisen, da die Begehren - wie sich aus den vorstehenden Erwägungen ergibt - als aussichtslos zu bezeichnen waren.</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