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E-5141/2009 vom 31. Januar 2011</w:t>
      </w:r>
    </w:p>
    <w:p>
      <w:r>
        <w:t>Bundesverwaltungsgericht, 2011-01-31, DE</w:t>
      </w:r>
    </w:p>
    <w:p>
      <w:r>
        <w:rPr>
          <w:b/>
        </w:rPr>
        <w:t xml:space="preserve">Quelle: </w:t>
      </w:r>
      <w:r>
        <w:t>https://mcp.opencaselaw.ch/entscheid/bvger_E-5141_2009</w:t>
      </w:r>
    </w:p>
    <w:p>
      <w:r>
        <w:t>FR: TAF E-5141/2009 du 31 janvier 2011</w:t>
      </w:r>
    </w:p>
    <w:p>
      <w:r>
        <w:t>IT: TAF E-5141/2009 del 31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de­ren Änderung und ist daher zur Einreichung der Beschwerde legitimiert. Auf die frist- und formgerecht eingereichte Beschwerde ist somit ein­zutreten (Art. 108 AsylG sowie Art. 105 AsylG i.V.m. Art. 37 VGG und Art. 48 Abs. 1 und Art. 52 VwVG).</w:t>
      </w:r>
    </w:p>
    <w:p>
      <w:r>
        <w:rPr>
          <w:b/>
        </w:rPr>
        <w:t>E. 1.3</w:t>
      </w:r>
    </w:p>
    <w:p>
      <w:r>
        <w:t>Der Beschwerdeführer hat eine Vollmacht vom 15. Dezember 2010 eingereicht, mit welcher er E._______ für telefonische und schriftliche Auskünfte bevollmächtigt. Diese Vollmacht enthält nach Auffassung des Gerichts keine Verpflichtung gemäss Art. 11 Abs. 3 VwVG, mithin ist das vorliegende Urteil dem Beschwerdeführer persönlich zuzustellen.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standhalten würden. Zur Begründung führte die Vorin­stanz aus, der Beschwerdeführer habe im Verlaufe des Verfahrens zu we­sentlichen Punkten unterschiedliche Angaben gemacht. Anlässlich der Erstbefragung habe er ausgesagt, beim Handgranatenangriff sei sein Neffe am Fuss verletzt worden. Demgegenüber habe er bei der Anhörung durch das BFM zu Protokoll gegeben, der Neffe habe beim Angriff ein Bein verloren. Sodann habe er anlässlich der ersten Befragung erklärt, er sei an seinem Arbeitsplatz von seinem Chef und von der Polizei ge­schützt worden; die Polizei würde immer den Arbeitsort schützen. Beim BFM habe er indes vorgebracht, der Schuldekan habe den Leiter des Si­cherheitsdienstes angerufen, welcher daraufhin eine Patrouille gesandt habe. Sodann habe der Beschwerdeführer den bei der Anhörung durch das BFM angeführten bewaffneten Überfall anlässlich der Erstbefragung nicht erwähnt, obwohl er damals bereits ausführlich befragt worden sei. Weiter führte das BFM aus, der Beschwerdeführer habe von 1982 bis 2003 in C._______ gelebt und dort auch seit anfangs 2005 bis zur Ausreise gearbeitet. Die nordirakischen Behörden seien generell schutzbereit und schutzfähig. Aus den Akten sei nicht ersichtlich, weshalb der Beschwerdeführer den Schutz dieser Behörden nicht in Anspruch neh­men könne. Zwar habe er geltend gemacht, beim Verfolger handle es sich um einen hohen kurdischen Funktionär, weshalb ihn der Dekan nicht weiter habe schützen wollen. Gleichzeitig habe er aber auch erklärt, dass Sicherheitsleute aus D._______ die bewaffneten Männer von der Schule entfernt hätten. Weiter sei in diesem Zusammenhang nicht nachvoll­ziehbar, weshalb der Beschwerdeführer den Namen des kurdischen Funktionärs nicht kenne. In Anbetracht dessen, dass es sich um eine wichtige Person handle und sein Bruder dessen Kind entführt habe, wäre es ein Leichtes gewesen, herauszufinden, um wen es sich konkret handle. Des Weiteren sei der Beschwerdeführer, obwohl er eingehend befragt worden sei, nicht in der Lage gewesen, den geltend gemachten Sachverhalt sachdienlich zu konkretisieren. Namentlich habe er nicht gewusst, in welchem Gefängnis sich sein Bruder befunden habe. Auch habe er sich nicht erinnern können, von wie vielen Personen er aufgesucht und bedroht worden sei. Schliesslich habe der Beschwerdeführer oft abwei­chend und erst bei mehrmaliger Wiederholung auf die gestellten Fragen geantwortet.</w:t>
      </w:r>
    </w:p>
    <w:p>
      <w:r>
        <w:rPr>
          <w:b/>
        </w:rPr>
        <w:t>E. 4.2</w:t>
      </w:r>
    </w:p>
    <w:p>
      <w:r>
        <w:t>In der Rechtmitteleingabe macht der Beschwerdeführer zunächst gel­tend, er habe anlässlich der beiden Befragungen Angst gehabt, einer der Dolmetscher könnte der PUK angehören. Deshalb habe er den Namen des Parteifunktionärs nicht genannt. Weiter hält der Beschwerdeführer in der Eingabe an der Glaubhaftigkeit seiner Vorbringen fest und führt aus, sein Neffe habe das rechte Bein verloren. Dies sei sowohl aus dem eingereichten Arztzeugnis als auch dem Polizeibericht ersichtlich. Ferner treffe es zu, dass ihn der Schuldekan zunächst geschützt habe, indes da­nach nicht mehr in der Lage gewesen sei, ihm weiteren Schutz anzubie­ten. Entgegen der vorinstanzlichen Ansicht habe er anlässlich der Erstbefragung die Bedrohung durch Unbekannte am 12. Juni 2007 detailliert dargelegt.</w:t>
      </w:r>
    </w:p>
    <w:p>
      <w:r>
        <w:rPr>
          <w:b/>
        </w:rPr>
        <w:t>E. 4.3</w:t>
      </w:r>
    </w:p>
    <w:p>
      <w:r>
        <w:t>Das BFM stellt in der Vernehmlassung zu den eingereichten Dokumenten fest, es sei auf den ersten Blick ersichtlich, dass es sich dabei um blosse Farbkopien handle. Zudem sei allgemein bekannt, dass im Irak solche Dokumente ohne weiteres unrechtmässig erworben werden könnten, weshalb ihr Beweiswert als äusserst gering einzustufen sei. Schliesslich vermöge auch die Erklärung des Beschwerdeführers, er habe den Namen seines Verfolgers nicht genannt, weil er dem Dolmetscher misstraut habe, nicht zu überzeugen.</w:t>
      </w:r>
    </w:p>
    <w:p>
      <w:r>
        <w:rPr>
          <w:b/>
        </w:rPr>
        <w:t>E. 4.4</w:t>
      </w:r>
    </w:p>
    <w:p>
      <w:r>
        <w:t>In der Replik hält der Beschwerdeführer daran fest, bei den eingereichten Dokumenten handle es ich um Originalkopien, was ihm seine Mutter anlässlich eines Telefonates bestätigt habe.</w:t>
      </w:r>
    </w:p>
    <w:p>
      <w:r>
        <w:rPr>
          <w:b/>
        </w:rPr>
        <w:t>E. 5.1</w:t>
      </w:r>
    </w:p>
    <w:p>
      <w:r>
        <w:t>Der Beschwerdeführer begründet in der Rechtsmitteleingabe das Nichtnennen des Namens seines Verfolgers anlässlich beider Befragun­gen mit einem generellen Misstrauen gegenüber den Dolmetschern. Dazu ist festzustellen, dass der Beschwerdeführer zu Beginn der Befragungen ausdrücklich über die Verschwiegenheitspflicht sämtlicher an­wesender Personen, mithin auch des Dolmetschers, orientiert wurde. So­dann sind den Akten keine Hinweise zu entnehmen, wonach anlässlich einer der beiden Befragungen eine Stimmung des Misstrauens zwischen dem Beschwerdeführer und dem Dolmetscher geherrscht hätte. Nament­lich führte auch der zur Beobachtung der Durchführung einer korrekten Befragung anwesende Hilfswerksvertreter in seiner Stellungnahme keine diesbezüglichen Feststellungen an. Im Übrigen wäre es dem Beschwerdeführer ohne weiteres zuzumuten gewesen, allfällige Misstrauensvoten bereits anlässlich beziehungsweise unmittelbar nach den Befragungen vorzubringen, dies umso mehr angesichts des Umstandes, dass er in der Schweiz um Schutz vor Verfolgung nachsucht. Insgesamt vermag der Beschwerdeführer aus seinem Erklärungsversuch nichts zu seinen Gunsten abzuleiten und die beiden Protokolle können dem vorliegenden Urteil zu Grunde gelegt werden.</w:t>
      </w:r>
    </w:p>
    <w:p>
      <w:r>
        <w:rPr>
          <w:b/>
        </w:rPr>
        <w:t>E. 5.2</w:t>
      </w:r>
    </w:p>
    <w:p>
      <w:r>
        <w:t>Weiter hält der Beschwerdeführer in der Rechtsmitteleingabe am Wahrheitsgehalt seiner Vorbringen fest. Zur Verletzung seines Neffen führt er aus, dieser habe beim Granatenangriff ein Bein verloren, was aus dem eingereichten Arztzeugnis sowie dem Polizeirapport ersichtlich sei. Diesbezüglich ist dem Protokoll der Erstbefragung zu entnehmen, dass der Beschwerdeführer nach der Verletzung seines Neffen gefragt wurde. Darauf antwortete er, der rechte Fuss sei verletzt worden und der Neffe habe auch Splitter im Körper (vgl. A1/10 S. 6). Nachdem der Beschwerdeführer ausdrücklich nach der Verletzung des Neffen gefragt wurde, ist angesichts der später behaupteten Schwere derselben nicht nach­vollziehbar, weshalb der Beschwerdeführer den Verlust des Beines nicht bereits anlässlich der Erstbefragung anführte. Insoweit bestehen ernst­hafte Zweifel an der Glaubhaftigkeit dieses wesentlichen Vorbringens. Diese Zweifel vermag der Beschwerdeführer auch mit dem eingereichten Arztzeugnis nicht auszuräumen. Zum einen ist es nicht üblich, dass ein ärztliches Attest die Bestätigung eines Vorfalls zum Inhalt hat, zum andern lässt das eingereichte Zeugnis jegliche fachärztliche Ausführungen vermissen. Es ist daher davon auszugehen, dass es sich beim eingereichten Dokument nicht um ein offizielles ärztliches Schreiben eines öffentlichen Spitals handelt. Dieser Schluss wird weiter durch den Umstand bestärkt, dass im Irak gefälschte oder verfälschte Dokumente ohne weiteres käuflich erworben oder erschlichen werden können. Desgleichen gilt bezüglich des eingereichten Polizeiberichts. Demnach ist weder das Arztzeugnis noch der Polizeibericht geeignet, die aufgezeigten Unstimmigkeiten betreffend Verletzung des Neffen des Beschwerdeführers aufzulösen. An dieser Folgerung vermögen auch die mit Schreiben vom 2. September 2009 nachgereichten angeblichen Originaldokumente nichts zu ändern. Des Weiteren ist festzustellen, dass der Beschwerdeführer, entgegen der von ihm in der Rechtsmitteleingabe vertretenen Ansicht, anlässlich der Erstbefragung nicht geltend machte, er sei in der Nacht des 12. Juni 2007 von bewaffneten Unbekannten daheim aufgesucht und mit dem Tod be­droht worden. In Anbetracht dessen, dass damals Unbekannte die Haus­türe demoliert, ins Haus eingedrungen und den Beschwerdeführer ernst­haft bedroht haben sollen, ist nicht nachvollziehbar, weshalb er dieses zentrale und einschneidende Vorkommnis nicht bereits anlässlich der ers­ten Befragung vortrug. Überdies ist in diesem Zusammenhang eine wei­tere Unstimmigkeit festzustellen. So sprach der Beschwerdeführer zu Be­ginn der Anhörung davon, er sei an jenem Abend von einem Leibwächter des Vaters des getöteten Kindes, mithin von einer Person, aufgesucht worden (vgl. A18/18 S. 4). Im späteren Verlauf der Anhörung sprach er diesbezüglich von mehreren Unbekannten (vgl. A18/18 S. 8). Was so­dann die unterschiedlichen Angaben betreffend den polizeilichen Schutz auf dem Schulhofareal anbelangt, so darf diesbezüglich von einer akade­misch gebildeten Person erwartet werden, dass sie solch wesentliche Umstände bereits anlässlich der Erstbefragung anführt und sie insbeson­dere anlässlich mehrerer Anhörungen übereinstimmend darlegt. Insoweit ist es dem Beschwerdeführer nicht gelungen, die aufgezeigten Unstimmigkeiten aufzulösen. Der Beschwerdeführer bestreitet weiter die Schutzfähigkeit der nordiraki­schen Behörden. Vorweg ist in diesem Zusammenhang festzuhalten, dass der Schuldekan nicht für die Schutzgewährung des Beschwerdefüh­rers verantwortlich ist. Sodann geht das Bundesverwaltungsgericht wie die Vorinstanz davon aus, dass die nordirakischen Behörden generell schutzbereit und schutzwillig sind. Dies hat der Beschwerdeführer im Übrigen selbst erlebt, ist doch gemäss seinen Aussagen beim Überfall vom 12. Juni 2007 offenbar plötzlich die Polizei bei ihm zu Hause eingetroffen und hat die Unbekannten mitgenommen (vgl. A 18/18 S. 8). Ferner sind die Sicherheitskräfte auch umgehend nach dem Anruf des Dekans auf dem Schulgelände erschienen. Dass die heimatlichen Sicherheits-behörden den Beschwerdeführer inskünftig nicht schützen würden, ist so-mit als blosse, durch nichts belegte Behauptung zurückzuweisen. Schliesslich vermag der Beschwerdeführer mit dem Wiederholen seiner Asylvorbringen und dem Festhalten an der Glaubhaftigkeit seiner Aussa­gen nicht substantiiert darzutun, inwiefern das BFM im Einzelnen zu Un­recht auf Unglaubhaftigkeit geschlossen hat. Um Wiederholungen zu ver­meiden, kann vollumfänglich auf die zutreffenden Erwägungen in der angefochtenen Verfügung verwiesen werden.</w:t>
      </w:r>
    </w:p>
    <w:p>
      <w:r>
        <w:rPr>
          <w:b/>
        </w:rPr>
        <w:t>E. 5.3</w:t>
      </w:r>
    </w:p>
    <w:p>
      <w:r>
        <w:t>Zusammenfassend ist festzuhalten, dass der Beschwerdeführer keine Gründe nach Art. 3 AsylG glaubhaft machen oder nachweisen konnte. Die Vorinstanz hat das Asylgesuch des Beschwerdeführers demnach zu Recht abgelehnt.</w:t>
      </w:r>
    </w:p>
    <w:p>
      <w:r>
        <w:rPr>
          <w:b/>
        </w:rPr>
        <w:t>E. 6.1</w:t>
      </w:r>
    </w:p>
    <w:p>
      <w:r>
        <w:t>Lehnt das Bundesamt das Asylgesuch ab oder tritt es darauf nicht ein, so verfügt es in der Regel die Wegweisung aus der Schweiz (Art. 44 Abs. 1 AsylG);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sowie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und Art. 33 FK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Irak lässt den Wegweisungsvollzug zum heutigen Zeitpunkt nicht als unzulässig erscheinen. Der Vollzug der Wegwei­sung ist demnach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Das Bundesverwaltungsgericht geht gemäss konstanter Praxis da­von aus, dass in den drei kurdischen Provinzen Dohuk, Erbil und Sulaymaniya keine Situation allgemeiner Gewalt herrscht und die dortige po­litische Lage nicht dermassen angespannt ist, dass eine Rückführung dorthin generell als unzumutbar betrachtet werden müsste (Entscheide des Schweizerischen Bundesverwaltungsgerichts [BVGE] 2008/5 E. 7.5.8 S. 72). Zusammenfassend wird im erwähnten Urteil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(a.a.O.).</w:t>
      </w:r>
    </w:p>
    <w:p>
      <w:r>
        <w:rPr>
          <w:b/>
        </w:rPr>
        <w:t>E. 7.4.3</w:t>
      </w:r>
    </w:p>
    <w:p>
      <w:r>
        <w:t>Die Sicherheitssituation in den drei kurdischen Provinzen hat sich seit Publikation des erwähnten Urteils im Frühling 2008 nicht wesentlich verändert. In der überwiegenden Mehrheit der Berichte von Regierungs- und Nichtregierungsorganisationen sowie des UN-Sicherheitsrats wird eine insgesamt stabile Situation beschrieben (vgl. dazu UK Home Office, Country of Origin Information Report: Kurdistan Regional Government Area of Iraq, 16. September 2009, S. 32 ff.). Die Schweizerische Flüchtlingshilfe (SFH) bezeichnete im August 2008 die Sicherheitslage im Nordirak als "vergleichsweise friedlich und stabil" (Michael Kirschner, SFH, Irak, Update: Aktuelle Entwicklungen, 14. August 2008, Ziff. 3.1, S. 9). In seinem aktuellen Bericht von Juli 2010 bestätigt das Amt des Hohen Flüchtlingskommissars der Vereinten Nationen (UNHCR) die relativ sta­bile Sicherheitslage in den drei kurdischen Provinzen (vgl. UNHCR, Note on the Continued Applicability of the April 2009 UNHCR Eligibility Gui­delines for Assessing the International Protection Needs of Iraqi Asylum-Seekers, Juli 2010, S. 2). Die allgemeine Sicherheitslage im Nordirak spricht somit nicht gegen die Zumutbarkeit des Vollzugs der Wegweisung.</w:t>
      </w:r>
    </w:p>
    <w:p>
      <w:r>
        <w:rPr>
          <w:b/>
        </w:rPr>
        <w:t>E. 7.4.4</w:t>
      </w:r>
    </w:p>
    <w:p>
      <w:r>
        <w:t>In der Rechtsmitteleingabe bestreitet der Beschwerdeführer die individuelle Zumutbarkeit des Vollzugs der Wegweisung. Indes sind den Ak­ten keine Hinweise zu entnehmen, wonach der Wegweisungsvollzug aus einem in der Person des Beschwerdeführers liegenden Grund nicht zu­mutbar wäre. Der alleinstehende und - soweit aktenkundig - gesunde Beschwerdeführer lebte gemäss seinen Angaben von 1982 bis 2003, mit­hin während seiner gesamten Kindheit, Jugend und Ausbildung mit seiner Familie in C._______. Sodann arbeitete er von 2005 bis zur Aus­reise im Juni 2007 ebenfalls in dieser Stadt. C._______ liegt in der Provinz Sulaymaniya. Nachdem der Beschwerdeführer über 20 Jahre in C._______ gelebt hat, ist er mit diesem Ort in jeglicher Hinsicht ver­traut und verfügt dort auch über ein bestehendes ausserfamiliäres Bezie­hungsnetz, auf welches er bei einer Rückkehr zurückgreifen kann. Ange­sichts seiner universitären Ausbildung sowie seiner Berufserfahrungen als Lehrer (...) ist davon auszugehen, dass sich der Beschwerdeführer in seiner Heimat wieder in den Arbeitsmarkt integrieren kann. Blosse soziale und wirtschaftliche Schwierigkeiten, von de­nen die ansässige Bevölkerung im Allgemeinen betroffen ist, genügen grundsätzlich nicht, um eine Gefährdung im Sinne von Art. 83 Abs. 4 AuG darzustellen (vgl. die weiterhin zutreffende Praxis in EMARK 2005 Nr. 24 E. 10.1. S. 215). Schliesslich steht es dem Beschwerdeführer offen und ist ihm zuzumuten, sich an einem anderen als seinem bisherigen Wohnort niederzulassen und eine neue Existenz aufzubauen.</w:t>
      </w:r>
    </w:p>
    <w:p>
      <w:r>
        <w:rPr>
          <w:b/>
        </w:rPr>
        <w:t>E. 7.4.5</w:t>
      </w:r>
    </w:p>
    <w:p>
      <w:r>
        <w:t>Zusammenfassend ist festzuhalten, dass keine Anhaltspunkte vorliegen, die auf eine konkrete Gefährdung des Beschwerdeführers im Irak schliessen lassen. Damit ist der Vollzug der Wegweisung als zumutbar zu erachten.</w:t>
      </w:r>
    </w:p>
    <w:p>
      <w:r>
        <w:rPr>
          <w:b/>
        </w:rPr>
        <w:t>E. 7.5</w:t>
      </w:r>
    </w:p>
    <w:p>
      <w:r>
        <w:t>Der Beschwerdeführer ist im Besitze eines irakischen Nationalitätsausweises sowie einer Identitätskarte,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in der Höhe von Fr. 600.- dem Beschwerdeführer aufzuerlegen (Art. 63 Abs. 1 und 5 VwVG), (Art. 1-3 des Reglements vom 21. Februar 2008 über die Kosten und Entschädigungen vor dem Bundesverwaltungsgericht [VGKE, SR 173.320.2]) und mit dem am 2. September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