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E-5134/2024 vom 7. August 2024</w:t>
      </w:r>
    </w:p>
    <w:p>
      <w:r>
        <w:t>Bundesverwaltungsgericht, 2024-08-07, DE</w:t>
      </w:r>
    </w:p>
    <w:p>
      <w:r>
        <w:rPr>
          <w:b/>
        </w:rPr>
        <w:t xml:space="preserve">Quelle: </w:t>
      </w:r>
      <w:r>
        <w:t>https://mcp.opencaselaw.ch/entscheid/bvger_E-5134_2024_d20240807</w:t>
      </w:r>
    </w:p>
    <w:p>
      <w:r>
        <w:t>FR: TAF E-5134/2024 du 7 août 2024</w:t>
      </w:r>
    </w:p>
    <w:p>
      <w:r>
        <w:t>IT: TAF E-5134/2024 del 7 agosto 2024</w:t>
      </w:r>
    </w:p>
    <w:p>
      <w:pPr>
        <w:pStyle w:val="Heading2"/>
      </w:pPr>
      <w:r>
        <w:t>Regeste</w:t>
      </w:r>
    </w:p>
    <w:p>
      <w:r>
        <w:t>Asyl und Wegweisung (beschleunigtes Verfahren) | Asyl und Wegweisung (beschleunigtes Verfahren); Verfügung des SEM vom 7. August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t>E-5134/2024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Auf die Durchführung eines Schriftenwechsels wurde ver- zichtet (Art. Art. 111a Abs. 1 AsylG).</w:t>
      </w:r>
    </w:p>
    <w:p>
      <w:r>
        <w:rPr>
          <w:b/>
        </w:rPr>
        <w:t>E. 4.1</w:t>
      </w:r>
    </w:p>
    <w:p>
      <w:r>
        <w:t>Die Beschwerdeführerin rügt in formeller Hinsicht, die Vorinstanz habe den Sachverhalt nicht vollständig abgeklärt. Namentlich habe sie es unter- lassen abzuklären, um was für eine Gruppe es sich bei diesen Männern gehandelt habe.</w:t>
      </w:r>
    </w:p>
    <w:p>
      <w:r>
        <w:rPr>
          <w:b/>
        </w:rPr>
        <w:t>E. 4.2</w:t>
      </w:r>
    </w:p>
    <w:p>
      <w:r>
        <w:t>Die Sachverhaltsfeststellung ist unvollständig, wenn nicht alle für den Entscheid rechtswesentlichen Sachumstände berücksichtigt werden (vgl. KÖLZ/HÄNER/BERTSCHI, Verwaltungsverfahren und Verwaltungsrechts- pflege des Bundes, 3. Aufl. 2013, Rz. 1043).</w:t>
      </w:r>
    </w:p>
    <w:p>
      <w:r>
        <w:rPr>
          <w:b/>
        </w:rPr>
        <w:t>E. 4.3</w:t>
      </w:r>
    </w:p>
    <w:p>
      <w:r>
        <w:t>Aus den Angaben der Beschwerdeführerin hat sich klar ergeben, dass es sich bei den Männern teilweise um ehemalige Arbeitskollegen sowie um andere Drittpersonen gehandelt hat. Der Vorinstanz war es aufgrund der vorliegenden Angaben daher möglich, die hier relevante rechtliche Würdi- gung vorzunehmen, namentlich die Frage nach einer innerstaatlichen Schutzalternativen zu prüfen. Weitergehende Abklärungen zu den Identitä- ten dieser Personen waren für das vorliegende Verfahren weder nötig noch entscheidend. Die formelle Rüge erweist sich daher als unbegründet.</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w:t>
      </w:r>
    </w:p>
    <w:p>
      <w:r>
        <w:t>E-5134/2024 Seite 6 Leibes, des Lebens oder der Freiheit sowie Massnahmen, die einen uner- träglichen psychischen Druck bewirken, den frauenspezifischen Flucht- gründen ist Rechnung zu tragen (Art. 3 Abs. 2 AsylG).</w:t>
      </w:r>
    </w:p>
    <w:p>
      <w:r>
        <w:rPr>
          <w:b/>
        </w:rPr>
        <w:t>E. 6.1</w:t>
      </w:r>
    </w:p>
    <w:p>
      <w:r>
        <w:t>Die Vorinstanz gelangt in der angefochtenen Verfügung zum Schluss, die Vorbringen der Beschwerdeführerin hielten den Anforderungen an die Flüchtlingseigenschaft gemäss Art. 3 AsylG nicht stand.</w:t>
      </w:r>
    </w:p>
    <w:p>
      <w:r>
        <w:rPr>
          <w:b/>
        </w:rPr>
        <w:t>E. 6.2</w:t>
      </w:r>
    </w:p>
    <w:p>
      <w:r>
        <w:t>Die von der Beschwerdeführerin eingereichten Dokumente (vgl. Bst. C. hiervor) würden, abgesehen von der Nennung des Delikts, keinen materi- ellen Inhalt aufweisen, sondern aus standardisierten Textbausteinen beste- hen und seien einfach zu fälschen, weshalb sie lediglich einen geringen Beweiswert hätten. Im Zusammenhang mit solchen Dokumenten sei zu- dem mittlerweile öffentlich bekannt, dass sie in der Türkei – sei es durch professionelle Fälscher oder via korrupte Justizangestellte – problemlos gegen Entgelt beschafft werden könnten. Aus diesen Gründen könne da- rauf verzichtet werden, zu prüfen, ob diese objektive Fälschungsmerkmale aufweisen würden. Die eingereichten Beweismittel würden zeigen, dass gegen die Beschwerdeführerin zwar ein staatsanwaltliches Ermittlungs- /Untersuchungsverfahren, indessen (noch) kein Gerichtsverfahren eröffnet worden sei. Da in der Türkei solche Verfahren oft in teils hoher Zahl einge- leitet, aber häufig auch wieder eingestellt würden, sei es zum jetzigen Zeit- punkt offen, ob die Ermittlungen vorliegend in absehbarer Zeit überhaupt zur Eröffnung eines Gerichtsverfahrens oder späteren Verurteilung der Be- schwerdeführerin aus einem flüchtlingsrechtlich relevanten Motiv führen werden. Durch das gelegentliche Veröffentlichen von Beiträgen auf Face- book sowie die Teilnahme an Treffen des kurdisch-alevitischen Vereins G._______ sei keine nennenswerte politische Exponiertheit zu erkennen, welche das Interesse der türkischen Behörden an der Beschwerdeführerin begründen könne. Aus objektiver Sicht sei demnach nicht davon auszuge- hen, ihr würden bei einer Rückkehr mit beachtlicher Wahrscheinlichkeit Nachteile drohen, welche eine flüchtlingsrechtliche Relevanz erreichen würden.</w:t>
      </w:r>
    </w:p>
    <w:p>
      <w:r>
        <w:rPr>
          <w:b/>
        </w:rPr>
        <w:t>E. 6.3</w:t>
      </w:r>
    </w:p>
    <w:p>
      <w:r>
        <w:t>Sodann würden die Belästigungen durch die ehemaligen Arbeitskolle- gen der Beschwerdeführerin nicht die nach Art. 3 AsylG geforderte Intensi- tät aufweisen um eine objektive Furcht vor künftigen Verfolgungsmassnah- men zu begründen. Die Belästigungen hätten bedeutend nachgelassen, nachdem sie ihren Wohnort nach F._______ verlegt habe. Damit habe sie sich den Behelligungen grösstenteils entziehen können. Es lägen</w:t>
      </w:r>
    </w:p>
    <w:p>
      <w:r>
        <w:t>E-5134/2024 Seite 7 schliesslich auch keine Hinweise vor, die auf einen Zusammenhang zwi- schen dem ehemaligen Arbeitskollegen, welcher Polizist sei, und den hän- gigen Ermittlungsverfahren schliessen lassen würden.</w:t>
      </w:r>
    </w:p>
    <w:p>
      <w:r>
        <w:rPr>
          <w:b/>
        </w:rPr>
        <w:t>E. 6.4</w:t>
      </w:r>
    </w:p>
    <w:p>
      <w:r>
        <w:t>Schliesslich gehe die geltend gemachte mehrstündigen Festhaltung durch die Polizei im Jahr 2023 in ihrer Intensität nicht über die Nachteile hinaus, welche weite Teile der kurdischen und alevitischen Bevölkerung in der Türkei in ähnlicher Weise treffen könnten.</w:t>
      </w:r>
    </w:p>
    <w:p>
      <w:r>
        <w:rPr>
          <w:b/>
        </w:rPr>
        <w:t>E. 7</w:t>
      </w:r>
    </w:p>
    <w:p>
      <w:r>
        <w:t>In der Rechtsmitteleingabe rügt die Beschwerdeführerin, die Vorinstanz habe sie zu Unrecht nicht als Flüchtling anerkannt. Sie habe ihre Verfol- gung an der Anhörung glaubhaft und detailliert dargelegt. Sie sei auf den sozialen Medien politisch aktiv gewesen, sei von der Polizei einmal in Ge- wahrsam genommen worden und habe zahlreiche Beweismittel als Beleg für ihre Vorbringen eingereicht. Schliesslich stelle die Frage ihres ehemali- gen Arbeitskollegen nach Gonca Kuris eine konkrete und persönliche Be- drohung dar.</w:t>
      </w:r>
    </w:p>
    <w:p>
      <w:r>
        <w:rPr>
          <w:b/>
        </w:rPr>
        <w:t>E. 8</w:t>
      </w:r>
    </w:p>
    <w:p>
      <w:r>
        <w:t>Die vorinstanzlichen Erwägungen sind nicht zu beanstanden. Zunächst ist festzustellen, dass die Vorinstanz in der angefochtenen Verfügung die Vor- bringen der Beschwerdeführerin nicht auf deren Glaubhaftigkeit überprüft hat, weshalb auf die diesbezüglichen Ausführungen in der Beschwerde- schrift nicht weiter einzugehen ist. Ebenso ist festzustellen, dass in der an- gefochtenen Verfügung einlässlich dargelegt wird, aus welchen Gründen die Beschwerdeführerin die Voraussetzungen zur Anerkennung als Flücht- ling nicht erfüllt. Mit diesen Erwägungen setzt sich die Beschwerdeführerin in der Rechtsmitteleingabe nicht ansatzweise auseinander und beschränkt sich einzig darauf, die vor der Vorinstanz bereits vorgetragenen Ausreise- gründe pauschal zu wiederholen. Mit der Vorinstanz ist aber nochmals festzuhalten, dass für die Annahme einer Kollektivverfolgung strenge Anforderungen gelten (vgl. BVGE 2014/32 E. 6.1; 2013/12 E. 6), die im Falle der Kurden sowie Kurdinnen (alevitischen Glaubens) in der Türkei nicht erfüllt sind, was auch unter Be- rücksichtigung der aktuellen politischen Entwicklungen in der Türkei und der einmaligen, mehrstündigen Verhaftung der Beschwerdeführerin im Jahr 2023 gilt (vgl. Urteile des BVGer E-3794/2024 vom 23. September 2024 E. 7.6.2). Die Vorinstanz hält sodann zu Recht fest, bei den Belästi- gungen durch die ehemaligen Arbeitskollegen handle es sich nicht um</w:t>
      </w:r>
    </w:p>
    <w:p>
      <w:r>
        <w:t>E-5134/2024 Seite 8 staatliche Verfolger, mithin seien diese asylunbeachtlich. Diesbezüglich ist zu ergänzen, dass aufgrund der Subsidiarität des flüchtlingsrechtlichen Schutzes die Anerkennung der Flüchtlingseigenschaft unter anderem vo- raussetzt, dass die betroffene Person in ihrem Heimatland keinen ausrei- chenden Schutz finden kann (vgl. BVGE 2011/51 E. 7, 2008/12 E. 7.2.6.2, 2008/4 E. 5.2). Das Bundesverwaltungsgericht geht indes in ständiger Rechtsprechung davon aus, dass die türkischen Behörden willens und in der Lage sind, Schutz vor Verfolgung durch Dritte zu gewähren und eine funktionierende Schutzinfrastruktur zur Verfügung zu stellen (vgl. statt vie- ler Urteile des BVGer D-5139/2024 vom 13. September 2024 E. 7.2 m.w.H. und E-3860/2024 vom 26. August 2024 E. 6.5). Schliesslich hat die Vor- instanz auch im Zusammenhang mit dem geltend gemachten Strafverfah- ren zu Recht das Vorliegen einer begründeten Furcht vor künftiger Verfol- gung verneint und es kann offen gelassen werden, ob es sich bei den ein- gereichten türkischen Verfahrensdokumenten um echte Beweismittel han- delt (vgl. etwa Urteile des BVGer D-920/2024 vom 7. Oktober 2024 E. 6.3; E-3923/2024 vom 1. Oktober 2024 E. 7.1; E-3794/2024 vom 23. Septem- ber 2024 E. 7.3.3, je m.w.H.). Aus den auf Rechtsmittelstufe eingereichten Verfahrensakten betreffend ein türkisches Straf-/Gerichtsverfahren von J._______ vermag die Beschwerdeführerin sodann nichts zu ihren Guns- ten abzuleiten. Demnach hat die Vorinstanz die Flüchtlingseigenschaft der Beschwerdeführerin zu Recht verneint und das Asylgesuch abgewiesen.</w:t>
      </w:r>
    </w:p>
    <w:p>
      <w:r>
        <w:rPr>
          <w:b/>
        </w:rPr>
        <w:t>E. 9.1</w:t>
      </w:r>
    </w:p>
    <w:p>
      <w:r>
        <w:t>Lehnt das SEM das Asylgesuch ab oder tritt es darauf nicht ein, so verfügt es in der Regel die Wegweisung aus der Schweiz und ordnet den Vollzug an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E-5134/2024 Seite 9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Sodann ergeben sich weder aus den Aussagen der Beschwerdeführerin noch aus den Akten Anhaltspunkte dafür, dass sie für den Fall einer Aus- schaffung in die Türkei dort mit beachtlicher Wahrscheinlichkeit einer nach Art. 3 EMRK oder Art. 1 FoK verbotenen Strafe oder Behandlung ausge- setzt wäre.</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BVGer D-5241/2024 vom 20. September 2024 E. 8.4.2).</w:t>
      </w:r>
    </w:p>
    <w:p>
      <w:r>
        <w:rPr>
          <w:b/>
        </w:rPr>
        <w:t>E. 10.3.2</w:t>
      </w:r>
    </w:p>
    <w:p>
      <w:r>
        <w:t>Weiter kann gemäss konstanter Praxis aus gesundheitlichen Grün- den nur dann auf Unzumutbarkeit des Wegweisungsvollzugs im Sinne von</w:t>
      </w:r>
    </w:p>
    <w:p>
      <w:r>
        <w:t>E-5134/2024 Seite 10 Art. 83 Abs. 4 AIG geschlossen werden, wenn eine absolut notwendige me- dizinische Behandlung im Heimatland nicht zur Verfügung steht und eine fehlende Möglichkeit der (Weiter-)Behandlung bei einer Rückkehr zu einer raschen und lebensgefährdenden Beeinträchtigung des Gesundheitszu- stands, zur Invalidität oder gar zum Tod der betroffenen Person führen würde (vgl. etwa BVGE 2011/50 E. 8.3, 2009/52 E. 10.1, 2009/51 E. 5.5, 2009/28 E. 9.3.1, 2009/2 E. 9.3.2). Soweit die Beschwerdeführerin in der Rechtsmitteleingabe vorbringt, sie sei aufgrund einer Vergewaltigung als Kind durch einen Polizisten schwer traumatisiert und könne daher nicht wieder zurück in die Türkei, ist darauf hinzuweisen, dass den Akten keine diesbezüglichen Arztberichte zu entnehmen sind. Unabhängig davon ist die Behandlung psychischer Probleme in der Türkei sowohl stationär als auch ambulant möglich ist. Es existieren landesweit psychiatrische Einrich- tungen und es stehen im Bedarfsfall auch Psychopharmaka zur Verfügung. Insbesondere in türkischen Grossstädten – darunter E._______, wo die Beschwerdeführerin vor der Ausreise jahrelang gelebt hat – ist der Zugang zu Gesundheitsdiensten, Beratungsstellen und Behandlungseinrichtungen für psychische Erkrankungen gewährleistet (vgl. Referenzurteil des BVGerE-1948/2018 vom 12. Juni 2018 E. 7.3.5.3 m.H.). Es kann somit da- von ausgegangen werden, dass die Beschwerdeführerin eine allfällig not- wendige medizinische Behandlung im Heimatstaat erhältlich machen kann.</w:t>
      </w:r>
    </w:p>
    <w:p>
      <w:r>
        <w:rPr>
          <w:b/>
        </w:rPr>
        <w:t>E. 10.3.3</w:t>
      </w:r>
    </w:p>
    <w:p>
      <w:r>
        <w:t>Schliesslich hat die Beschwerdeführerin viele Jahre mit ihren Eltern und ihrer Schwester in E._______ sowie zwei Jahre vor ihrer Ausreise in F._______ bei ihrem Bruder gelebt. Die genannten Familienangehörigen halten sich weiterhin in den erwähnten Städten auf, weshalb davon auszu- gehen ist, dass die Beschwerdeführerin in ihrer Heimat über ein intaktes familiäres Beziehungsnetz verfügt, welches sie bei einer Rückkehr erneut wird unterstützten können. Ausserdem verfügt sie über mehrere Jahre Be- rufserfahrung als (…) und (…). Ihr ist es daher zuzumuten, sich erneut um eine Anstellung zu bemühen respektive auch im (…) des Bruders die Arbeit wieder aufzunehmen.</w:t>
      </w:r>
    </w:p>
    <w:p>
      <w:r>
        <w:rPr>
          <w:b/>
        </w:rPr>
        <w:t>E. 10.3.4</w:t>
      </w:r>
    </w:p>
    <w:p>
      <w:r>
        <w:t>Nach dem Gesagten erweist sich der Vollzug der Wegweisung auch als zumutbar.</w:t>
      </w:r>
    </w:p>
    <w:p>
      <w:r>
        <w:rPr>
          <w:b/>
        </w:rPr>
        <w:t>E. 10.4</w:t>
      </w:r>
    </w:p>
    <w:p>
      <w:r>
        <w:t>Die Beschwerdeführerin verfügt über eine türkische Identitätskarte (gültig bis […]) und es obliegt ihr, sich bei der zuständigen Vertretung des Heimatstaates weitere, für eine Rückkehr notwendige Reisedokumente zu beschaffen (vgl. Art. 8 Abs. 4 AsylG und dazu auch BVGE 2008/34 E. 12),</w:t>
      </w:r>
    </w:p>
    <w:p>
      <w:r>
        <w:t>E-5134/2024 Seite 11 weshalb der Vollzug der Wegweisung auch als möglich zu bezeichnen ist (Art. 83 Abs. 2 AIG).</w:t>
      </w:r>
    </w:p>
    <w:p>
      <w:r>
        <w:rPr>
          <w:b/>
        </w:rPr>
        <w:t>E. 11</w:t>
      </w:r>
    </w:p>
    <w:p>
      <w:r>
        <w:t>Zusammenfassend hat die Vorinstanz den Wegweisungsvollzug zu Recht als zulässig, zumutbar und möglich bezeichnet. Eine Anordnung der vor- 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der Beschwerdefüh- rerin aufzuerlegen (Art. 63 Abs. 1 VwVG) und auf Fr. 750.– festzusetzen (Art. 1–3 des Reglements vom 21. Februar 2008 über die Kosten und Ent- schädigungen vor dem Bundesverwaltungsgericht [VGKE, SR 173.320.2]). Der am 5. September 2024 geleistete Kostenvorschuss in der Höhe von Fr. 750.– ist zur Bezahlung der Verfahrenskosten zu verwenden.</w:t>
      </w:r>
    </w:p>
    <w:p>
      <w:r>
        <w:t>(Dispositiv nächste Seite)</w:t>
      </w:r>
    </w:p>
    <w:p>
      <w:r>
        <w:t>E-5134/2024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