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E-5131/2016 vom 29. September 2016</w:t>
      </w:r>
    </w:p>
    <w:p>
      <w:r>
        <w:t>Bundesverwaltungsgericht, 2016-09-29, DE</w:t>
      </w:r>
    </w:p>
    <w:p>
      <w:r>
        <w:rPr>
          <w:b/>
        </w:rPr>
        <w:t xml:space="preserve">Quelle: </w:t>
      </w:r>
      <w:r>
        <w:t>https://mcp.opencaselaw.ch/entscheid/bvger_E-5131_2016</w:t>
      </w:r>
    </w:p>
    <w:p>
      <w:r>
        <w:t>FR: TAF E-5131/2016 du 29 septembre 2016</w:t>
      </w:r>
    </w:p>
    <w:p>
      <w:r>
        <w:t>IT: TAF E-5131/2016 del 29 settembre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Nach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zu bewilligen (Art. 51 Abs. 4 AsylG). Die Erteilung einer Einreisebewilligung nach Art. 51 Abs. 4 AsylG setzt gemäss konstanter Rechtsprechung eine vorbestandene Familiengemeinschaft, die Trennung der Familie durch die Flucht sowie die fest beabsichtigte Familienvereinigung in der Schweiz voraus (BVGE 2012/32 E. 5, Urteil des BVGer E-4076/2015 vom 16. Juli 2015).</w:t>
      </w:r>
    </w:p>
    <w:p>
      <w:r>
        <w:rPr>
          <w:b/>
        </w:rPr>
        <w:t>E. 5.1</w:t>
      </w:r>
    </w:p>
    <w:p>
      <w:r>
        <w:t>In der angefochtenen Verfügung wird ausgeführt, eine Familienzusammenführung sei nur möglich, wenn die Flüchtlingseigenschaft der hier lebenden Person anerkannt sei, die Familiengemeinschaft vor der Trennung bestanden habe, die Familie durch die Flucht getrennt worden sei und auf beiden Seiten die feste Absicht bestehe, den getrennten Familienbund wieder aufzunehmen und dies nur in der Schweiz zumutbar ist. Die Familienzusammenführung gemäss Art. 51 Abs. 4 AsylG bezwecke die Bewahrung von vorbestehenden Familiengemeinschaften bzw. deren Wiederherstellung, sofern die Gemeinschaft alleine aufgrund der Fluchtumstände und damit unfreiwillig getrennt worden sei. Vorliegend sei den Akten zu entnehmen, dass die Ehefrau des Beschwerdeführers im Jahr 2010 zusammen mit den gemeinsamen Kindern in den Sudan ausgereist sei. Der Kontakt zum Beschwerdeführer sei abgebrochen. In den folgenden drei Jahren, die der Beschwerdeführer noch in Eritrea verbracht habe, habe er keinen Kontakt zu seiner Familie aufgenommen. Vielmehr sei er davon ausgegangen, seine Frau habe ihn verlassen. Zudem habe der Beschwerdeführer seither auch keinerlei Unterhalts- oder Unterstützungsbeiträge für die Ehefrau und die Kinder geleistet. 2011 sei er mit einer anderen Frau eine Beziehung eingegangen, welche (...) ein Kind von ihm erwartet habe. Zusammen mit der neuen Lebensgefährtin sei der Beschwerdeführer im Mai 2013 in den Sudan ausgereist. Trotz seines zweimonatigen Aufenthaltes dort habe er sich nicht bemüht, Kontakt zu seiner ebenfalls im Sudan lebenden Familie herzustellen. Im August 2013 sei er mit der neuen Lebensgefährtin in die Schweiz eingereist. Nachdem die gemeinsame Tochter im (...) zur Welt gekommen sei, habe das Paar die Beziehung beendet und lebe nun getrennt. In der Folge habe der Beschwerdeführer den Kontakt zu seiner Ehefrau und den vier Kindern wieder aufgenommen. Angesichts dieser Umstände könne nicht von einer Wiederherstellung einer allein aufgrund der Flucht getrennten Familienbeziehung im Sinn des Gesetzes gesprochen werden, weshalb es sich nicht rechtfertige, der Ehefrau und den gemeinsamen Kindern Asyl zu gewähren.</w:t>
      </w:r>
    </w:p>
    <w:p>
      <w:r>
        <w:rPr>
          <w:b/>
        </w:rPr>
        <w:t>E. 5.2</w:t>
      </w:r>
    </w:p>
    <w:p>
      <w:r>
        <w:t>Die vorinstanzliche Beweiswürdigung ist nicht zu beanstanden. In der angefochtenen Verfügung wird ausführlich dargelegt, aufgrund welcher Umstände nicht von einer Wiederherstellung einer allein aufgrund der Flucht unfreiwillig getrennten Familienbeziehung ausgegangen werden könne. Was in der Beschwerde dagegen vorgebracht wird, lässt keinen anderen Schluss zu. Mit der Vorinstanz ist nochmals festzuhalten, dass der Beschwerdeführer gemäss seinen eigenen Angaben davon ausgegangen ist, seine Ehefrau habe ihn verlassen (vgl. Akten Vorinstanz A9/25 S. 4). Sodann steht das Vorbringen in der Eingabe, er habe seine Ehefrau im Sudan vergebens gesucht, in offensichtlichem Widerspruch zu seinen Angaben anlässlich der Anhörung (vgl. Akten Vorinstanz A9/25 S. 3). Weiter ist es eine durch nichts belegte Behauptung des Beschwerdeführers, wonach er sich erst nach der Trennung von seiner Partnerin Ende (...) ein Telefon habe kaufen und so erstmals mit dem Bruder der Ehefrau auf Facebook habe Kontakt aufnehmen können. Weitergehend legt der Beschwerdeführer mit dem Wiederholen des aktenkundigen Sachverhalts nicht dar, inwiefern die Vorinstanz vorliegend Bundesrecht verletzt hat. Solches ist auch nicht ersichtlich.</w:t>
      </w:r>
    </w:p>
    <w:p>
      <w:r>
        <w:rPr>
          <w:b/>
        </w:rPr>
        <w:t>E. 5.3</w:t>
      </w:r>
    </w:p>
    <w:p>
      <w:r>
        <w:t>Die Vorinstanz hat demnach zu Recht die Einreisebewilligung verweigert und das Gesuch um asylrechtliche Familienzusammenführung abgelehnt.</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14. September 2016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