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E-5126/2016 vom 22. März 2017</w:t>
      </w:r>
    </w:p>
    <w:p>
      <w:r>
        <w:t>Bundesverwaltungsgericht, 2017-03-22, DE</w:t>
      </w:r>
    </w:p>
    <w:p>
      <w:r>
        <w:rPr>
          <w:b/>
        </w:rPr>
        <w:t xml:space="preserve">Quelle: </w:t>
      </w:r>
      <w:r>
        <w:t>https://mcp.opencaselaw.ch/entscheid/bvger_E-5126_2016</w:t>
      </w:r>
    </w:p>
    <w:p>
      <w:r>
        <w:t>FR: TAF E-5126/2016 du 22 mars 2017</w:t>
      </w:r>
    </w:p>
    <w:p>
      <w:r>
        <w:t>IT: TAF E-5126/2016 del 22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w:t>
      </w:r>
    </w:p>
    <w:p>
      <w:r>
        <w:rPr>
          <w:b/>
        </w:rPr>
        <w:t>E. 5.1</w:t>
      </w:r>
    </w:p>
    <w:p>
      <w:r>
        <w:t>Das SEM führte zur Begründung der angefochtenen Verfügung im Asylpunkt aus, die Kernverbringen der Beschwerdeführerin (schlechte Behandlung durch die Grossmutter, Vorladung zum National Service im Alter von 15 Jahren) hätten von ihr nicht glaubhaft gemacht worden können. Die angebliche illegale Ausreise sei flüchtlingsrechtlich nicht relevant, weshalb die Frage der Glaubhaftigkeit hier letztlich offen bleiben könne.</w:t>
      </w:r>
    </w:p>
    <w:p>
      <w:r>
        <w:rPr>
          <w:b/>
        </w:rPr>
        <w:t>E. 5.2</w:t>
      </w:r>
    </w:p>
    <w:p>
      <w:r>
        <w:t>Die Beschwerdeführerin äussert sich in ihrem Rechtsmittel mit keinem Wort zur überzeugenden Argumentation der Vorinstanz betreffend die Unglaubhaftigkeit ihrer angeblichen Vorfluchtgründe. Die Asylgewährung wird im Rechtsmittel nicht beantragt. Unter diesen Umständen bleibt im Folgenden nur die Frage der geltend gemachten illegalen Ausreise aus Eritrea zu beurteilen.</w:t>
      </w:r>
    </w:p>
    <w:p>
      <w:r>
        <w:rPr>
          <w:b/>
        </w:rPr>
        <w:t>E. 6.1</w:t>
      </w:r>
    </w:p>
    <w:p>
      <w:r>
        <w:t>In der Beschwerde wird im Wesentlichen geltend gemacht, die Verfügung beruhe auf einer kürzlich erfolgten Praxisänderung des SEM, die ihrerseits nicht hinreichend auf zuverlässige Country of Origin Information (COI) abgestützt sei. Die Beschwerdeführerin hätte bei einer Rückkehr nach Eritrea flüchtlingsrechtlich relevante Nachteile wegen ihrer illegalen Ausreise zu gewärtigen, weshalb sie in der Schweiz als Flüchtling vorläufig aufzunehmen sei. In der Vernehmlassung beschränkte sich das SEM darauf, auf die Erwägungen in der angefochtenen Verfügung zu verweisen.</w:t>
      </w:r>
    </w:p>
    <w:p>
      <w:r>
        <w:rPr>
          <w:b/>
        </w:rPr>
        <w:t>E. 6.2.1</w:t>
      </w:r>
    </w:p>
    <w:p>
      <w:r>
        <w:t>Gemäss langjähriger bisheriger Praxis der schweizerischen Asylbehörden begründete bereits eine (glaubhaft gemachte) illegale Ausreise aus Eritrea ohne weiteres die Flüchtlingseigenschaft. Das SEM verschärfte diese Praxis im Sommer 2016, wovon auch die Beschwerdeführerin betroffen war. Diese begründet ihr Rechtsmittel im Ergebnis ausschliesslich mit dem Vorbringen, die Praxisänderung des SEM sei inhaltlich zu Unrecht erfolgt.</w:t>
      </w:r>
    </w:p>
    <w:p>
      <w:r>
        <w:rPr>
          <w:b/>
        </w:rPr>
        <w:t>E. 6.2.2</w:t>
      </w:r>
    </w:p>
    <w:p>
      <w:r>
        <w:t>Das Bundesverwaltungsgericht hat sich im Rahmen des (in seinen beiden Asylabteilungen kürzlich koordiniert entschiedenen und zur Publikation als Referenzurteil vorgesehenen) Urteils D-7898/2015 vom 30. Januar 2017 mit der Frage befasst, ob Eritreerinnen und Eritreer, die ihr Land illegal verlassen haben, allein deswegen bei einer Rückkehr Verfolgung zu befürchten haben.</w:t>
      </w:r>
    </w:p>
    <w:p>
      <w:r>
        <w:rPr>
          <w:b/>
        </w:rPr>
        <w:t>E. 6.2.3</w:t>
      </w:r>
    </w:p>
    <w:p>
      <w:r>
        <w:t>Nach einer umfassenden Analyse aller zur Verfügung stehenden Länderinformationen kam das Gericht zum Schluss, dass sich die bisherige Praxis nicht mehr aufrechterhalten liess und vom SEM zu Recht angepasst worden war.</w:t>
      </w:r>
    </w:p>
    <w:p>
      <w:r>
        <w:rPr>
          <w:b/>
        </w:rPr>
        <w:t>E. 6.2.4</w:t>
      </w:r>
    </w:p>
    <w:p>
      <w:r>
        <w:t>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w:t>
      </w:r>
    </w:p>
    <w:p>
      <w:r>
        <w:rPr>
          <w:b/>
        </w:rPr>
        <w:t>E. 6.2.5</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D-7898/2015 E. 5).</w:t>
      </w:r>
    </w:p>
    <w:p>
      <w:r>
        <w:rPr>
          <w:b/>
        </w:rPr>
        <w:t>E. 6.3</w:t>
      </w:r>
    </w:p>
    <w:p>
      <w:r>
        <w:t>Aus den Akten der Beschwerdeführerin gehen solche zusätzlichen Gefährdungsfaktoren nach dem oben Gesagten nicht hervor. Es ist ihr somit nicht gelungen, eine relevante Verfolgungsgefahr im Sinn von Art. 3 respektive Art. 54 AsylG nachzuweisen oder glaubhaft darzutun.</w:t>
      </w:r>
    </w:p>
    <w:p>
      <w:r>
        <w:rPr>
          <w:b/>
        </w:rPr>
        <w:t>E. 6.4</w:t>
      </w:r>
    </w:p>
    <w:p>
      <w:r>
        <w:t>Das SEM hat die Flüchtlingseigenschaft der Beschwerdeführerin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22. Juli 2016 die vorläufige Aufnahme der Beschwerdeführerin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Nachdem der Instruktionsrichter ihr Gesuch um Gewährung der unentgeltlichen Prozessführung gutgeheissen hatte und den Akten keine Hinweise auf eine Veränderung der finanziellen Verhältnisse zu entnehmen sind, ist von einer Kostenauflage abzusehen.</w:t>
      </w:r>
    </w:p>
    <w:p>
      <w:r>
        <w:rPr>
          <w:b/>
        </w:rPr>
        <w:t>E. 10.2</w:t>
      </w:r>
    </w:p>
    <w:p>
      <w:r>
        <w:t>Der Rechtsvertreterin ist als amtlich beigeordnete Rechtsbeiständin ein Honorar auszurichten. Der in der Kostennote vom 23. August 2016 für das vorliegende Beschwerdeverfahren ausgewiesene zeitliche Aufwand von insgesamt zwölf Stunden erscheint den konkreten Verfahrensumständen nicht als angemessen und ist zu reduzieren. Unter Berücksichtigung der in Betracht zu ziehenden Bemessungsfaktoren (Art. 9-13 des Reglements vom 21. Februar 2008 über die Kosten und Entschädigungen vor dem Bundesverwaltungsgericht [VGKE, SR 173.320.2]) und die in der Zwischenverfügung vom 1. September 2016 kommunizierten Stundenansätze ist das Honorar der amtlichen Rechtsbeiständin zu Lasten des Gerichts auf insgesamt Fr. 1500.- (inkl. Auslagen und Mehrwertsteueranteil) zu bestimmen.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