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E-5119/2021 vom 18. September 2023</w:t>
      </w:r>
    </w:p>
    <w:p>
      <w:r>
        <w:t>Bundesverwaltungsgericht, 2023-09-18, DE</w:t>
      </w:r>
    </w:p>
    <w:p>
      <w:r>
        <w:rPr>
          <w:b/>
        </w:rPr>
        <w:t xml:space="preserve">Quelle: </w:t>
      </w:r>
      <w:r>
        <w:t>https://mcp.opencaselaw.ch/entscheid/bvger_E-5119_2021</w:t>
      </w:r>
    </w:p>
    <w:p>
      <w:r>
        <w:t>FR: TAF E-5119/2021 du 18 septembre 2023</w:t>
      </w:r>
    </w:p>
    <w:p>
      <w:r>
        <w:t>IT: TAF E-5119/2021 del 18 settembre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E-5119/2021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der Konflikt des Onkels des Beschwerdeführers mit einer kriminellen Gruppierung, welche ihn und seine Familie zur Flucht veranlasst habe, stelle für den Beschwer- deführer keine Verfolgung im Sinne des Asylgesetzes dar, weil er nur indi- rekt davon betroffen gewesen sei. Im Weiteren werde nicht bezweifelt, dass er Vorbehalte gegenüber dem Islam habe und sich von dieser Reli- gion abgewendet zu haben scheine. Allerdings sei nicht davon auszuge- hen, dass dies im Heimatstaat ernsthafte Nachteile im Sinne von Art. 3 AsylG zur Folge gehabt habe, oder er solche zu befürchten hätte. Von den Vorfällen in der Koranschule seien alle Schüler betroffen gewesen, und der Beschwerdeführer sei von seiner Familie wegen seiner religiösen Einstel- lung nicht verstossen worden. Es gebe keine Anhaltspunkte dafür, dass seine Apostasie in Afghanistan bekannt geworden sei, auch wenn er in der Asylunterkunft durch andere afghanische Jugendliche angefeindet worden sei. Demnach würden die Vorbringen des Beschwerdeführers die Anforde- rungen an die Flüchtlingseigenschaft gemäss Art. 3 AsylG nicht erfüllen.</w:t>
      </w:r>
    </w:p>
    <w:p>
      <w:r>
        <w:rPr>
          <w:b/>
        </w:rPr>
        <w:t>E. 4.2.1</w:t>
      </w:r>
    </w:p>
    <w:p>
      <w:r>
        <w:t>In der Beschwerdeeingabe wurde gerügt, die Vorinstanz habe es un- terlassen, andere vergleichbare Fälle – insbesondere das Referenzurteil D-4952/2014 des Bundesverwaltungsgerichts vom 23. August 2017 – bei- zuziehen. In diesem Urteil sei aufgrund einer Abkehr vom Islam die Flücht- lingseigenschaft zuerkannt und es sei erwogen worden, dass das zentrale Element bei einer geltend gemachten Konversion in der Praxis die Beurtei- lung der Glaubhaftigkeit sei; dies bedeute im Umkehrschluss, dass bei ei- ner glaubhaften Konversion regelmässig auf eine asylrelevante Verfolgung zu schliessen sei. Die Strafen für Apostasie in Afghanistan seien in gesell- schaftlicher wie auch strafrechtlicher Hinsicht sehr hoch, und es sei davon auszugehen, dass Personen, deren Apostasie öffentlich bekannt werde, objektiv eine begründete Furcht vor Verfolgung hätten. Die Situation in Af- ghanistan habe sich seit Erlass des genannten Referenzurteils drastisch verändert und verschlechtert. Es sei davon auszugehen, dass die Gefahr für Atheisten seit der Machtübernahme der Taliban noch grösser sei.</w:t>
      </w:r>
    </w:p>
    <w:p>
      <w:r>
        <w:t>E-5119/2021 Seite 6</w:t>
      </w:r>
    </w:p>
    <w:p>
      <w:r>
        <w:rPr>
          <w:b/>
        </w:rPr>
        <w:t>E. 4.2.2</w:t>
      </w:r>
    </w:p>
    <w:p>
      <w:r>
        <w:t>Vorliegend sei die Glaubhaftigkeit der religiösen Fluchtgründe und des Atheismus des Beschwerdeführers vom SEM nicht bezweifelt worden. Aus den von ihm geschilderten Problemen mit Landsleuten in der Schweiz könne der Schluss gezogen werden, dass er seine Meinung zu religiösen Fragen frei äussern wolle und nicht bereit sei, seine Einstellung nur im Ver- borgenen zu leben. Demnach sei davon auszugehen, dass er aufgrund seiner religiösen Haltung in Afghanistan einer asylrelevanten Gefährdung ausgesetzt wäre.</w:t>
      </w:r>
    </w:p>
    <w:p>
      <w:r>
        <w:rPr>
          <w:b/>
        </w:rPr>
        <w:t>E. 5.1</w:t>
      </w:r>
    </w:p>
    <w:p>
      <w:r>
        <w:t>Vorab ist festzustellen, dass das SEM den vom Beschwerdeführer als Grund für seine Ausreise genannten Problemen seiner Familie mit einer kriminellen Gruppierung zu Recht die asylrechtliche Relevanz abgespro- chen hat, weil dieses Vorbringen sowohl hinsichtlich der Intensität als auch des Verfolgungsmotivs die Anforderungen von Art. 3 AsylG nicht erfüllt. Dies wurde im Übrigen in der Beschwerdeeingabe nicht bestritten. Auch den von ihm geschilderten Konflikten mit einem Mullah und seinem Vater kann offensichtlich keine asylrechtliche Relevanz beigemessen werden.</w:t>
      </w:r>
    </w:p>
    <w:p>
      <w:r>
        <w:rPr>
          <w:b/>
        </w:rPr>
        <w:t>E. 5.2</w:t>
      </w:r>
    </w:p>
    <w:p>
      <w:r>
        <w:t>Bei dieser Sachlage ist festzustellen, dass der Beschwerdeführer im Zeitpunkt seiner Ausreise aus Afghanistan (wie auch aus dem Iran) die Flüchtlingseigenschaft nicht erfüllt hat.</w:t>
      </w:r>
    </w:p>
    <w:p>
      <w:r>
        <w:rPr>
          <w:b/>
        </w:rPr>
        <w:t>E. 6.1</w:t>
      </w:r>
    </w:p>
    <w:p>
      <w:r>
        <w:t>Im Weiteren macht der Beschwerdeführer geltend, er habe sich in Grie- chenland nach intensiver Auseinandersetzung mit dem Islam von dieser Religion abgewandt und erachte sich nunmehr als Atheist. Deswegen be- fürchte er bei einer allfälligen Rückkehr nach Afghanistan Verfolgung ins- besondere durch die Taliban.</w:t>
      </w:r>
    </w:p>
    <w:p>
      <w:r>
        <w:rPr>
          <w:b/>
        </w:rPr>
        <w:t>E. 6.2</w:t>
      </w:r>
    </w:p>
    <w:p>
      <w:r>
        <w:t>Wer sich darauf beruft, dass erst durch sein Verhalten nach der Aus- reise aus dem Heimatland eine Gefährdungssituation geschaffen worden ist, macht sogenannte subjektive Nachfluchtgründe im Sinne von Art. 54 AsylG geltend. Solche begründen zwar die Flüchtlingseigenschaft im Sinne von Art. 3 AsylG, führen jedoch gemäss Art. 54 AsylG zum Ausschluss des Asyls. Stattdessen werden Personen, die subjektive Nachfluchtgründe nachweisen oder glaubhaft machen können, als Flüchtlinge vorläufig auf- genommen (vgl. BVGE 2009/28 E. 7.1). Die Anforderungen an den Nach- weis einer begründeten Furcht bleiben massgeblich (Art. 3 und Art. 7 AsylG).</w:t>
      </w:r>
    </w:p>
    <w:p>
      <w:r>
        <w:t>E-5119/2021 Seite 7</w:t>
      </w:r>
    </w:p>
    <w:p>
      <w:r>
        <w:rPr>
          <w:b/>
        </w:rPr>
        <w:t>E. 6.3.1</w:t>
      </w:r>
    </w:p>
    <w:p>
      <w:r>
        <w:t>Der vom Beschwerdeführer durch die Schilderungen seiner Ausei- nandersetzung mit Glaubensfragen offenbarte hohe Bildungsgrad sowie seine sehr guten Fremdsprachenkenntnisse geben Anlass zu erheblichen Zweifeln an seiner Darstellung, wonach er in Afghanistan nur während zwei Jahren eine staatliche Schule besucht habe. Ähnliche Überlegungen hatte sich offenbar auch der die Anhörung leitende SEM-Mitarbeiter gemacht (vgl. Protokoll A21 F107: "Ich muss dir ein Kompliment machen. Obwohl du nur zwei Jahre reguläre Schule gemacht hast, wirkst du auf mich gebil- det und sehr intelligent und auch deine Englischkenntnisse erstaunen mich"). In dieses Bild passt die Feststellung, dass auf dem Schülerausweis, dessen Fotografie vom Beschwerdeführer eingereicht worden ist, eine Zeile mit einem Klebestreifen abgedeckt war (gemäss einer Recherche des SEM-Fachreferenten die Rubrik "Vorbereitung Abiturklasse", vgl. a.a.O. F103). All dies legt den Schluss nahe, dass die biografischen Angaben des Beschwerdeführers jedenfalls mit Bezug auf seine Schulbildung nicht zutreffend sind.</w:t>
      </w:r>
    </w:p>
    <w:p>
      <w:r>
        <w:rPr>
          <w:b/>
        </w:rPr>
        <w:t>E. 6.3.2</w:t>
      </w:r>
    </w:p>
    <w:p>
      <w:r>
        <w:t>Damit drängt sich auch die Frage der Glaubhaftigkeit der übrigen von ihm geschilderten Vorkommnisse vor seiner Ausreise aus dem Heimatstaat auf, insbesondere der Auseinandersetzungen mit dem Mullah der Koran- schule, sowie seiner Ausführungen zu seinem Abfall vom islamischen Glauben. Dies umso mehr, nachdem gewisse Aspekte der Sachverhalts- darstellung einen unplausiblen Eindruck erwecken, so beispielsweise das Vorbringen des Beschwerdeführers, sein Vater, der ein strenggläubiger schiitischer Hazara sei, sei "aus religiösen Ansichten sehr mit den Taliban einverstanden" gewesen (vgl. a.a.O. F52). Angesichts der folgenden Über- legungen erübrigen sich jedoch weitere Erwägungen betreffend das Glaub- haftmachen dieser Kernvorbringen.</w:t>
      </w:r>
    </w:p>
    <w:p>
      <w:r>
        <w:rPr>
          <w:b/>
        </w:rPr>
        <w:t>E. 6.4.1</w:t>
      </w:r>
    </w:p>
    <w:p>
      <w:r>
        <w:t>In dem als Referenzurteil publizierten Entscheid D-4952/2014 hat das Bundesverwaltungsgericht die Lage in Afghanistan bezüglich der Reli- gionsfreiheit mit Fokus auf Agnostiker und Agnostikerinnen respektive Atheisten und Atheistinnen näher beleuchtet. Dabei hielt es unter anderem fest, dass Gläubige anderer Religionen als des Islams gemäss der afgha- nischen Verfassung ihren Glauben innerhalb der gesetzlichen Grenzen frei ausüben könnten. Die afghanische Verfassung bezeichne den Islam je- doch gleichzeitig explizit als offizielle Staatsreligion und bestimme, dass keine andere Religion den Grundsätzen und Regeln des Islams zuwider- laufen dürfe. Zwar werde Apostasie im afghanischen Strafgesetzbuch nicht</w:t>
      </w:r>
    </w:p>
    <w:p>
      <w:r>
        <w:t>E-5119/2021 Seite 8 als Straftat definiert, falle aber nach afghanischer Rechtsauffassung unter die nicht weiter definierten "ungeheuerlichen Straftaten", die laut Straf- gesetzbuch nach der Hanafi-Rechtslehre bestraft würden. Die Äusserung von nicht-religiösen Überzeugungen werde verfolgt oder schlicht durch so- ziale Zwänge verunmöglicht, wobei die soziale Kontrolle und der soziale Druck in Afghanistan gross seien (vgl. a.a.O. E. 7.5.2). Personen, deren Apostasie öffentlich bekannt werde, hätten objektiv begründete Furcht vor Nachteilen im Sinne von Art. 3 AsylG. Es sei zu prüfen, inwieweit von einer Person vernünftigerweise erwartet werden könne, die drohende Verfolgung durch das eigene (diskrete) Verhalten abzuwenden, oder ob solches für sie zu einem unerträglichen psychischen Druck führe (vgl. a.a.O. E. 7.5.5 f.). Die Annahme, das Verheimlichen einer persönlichen Überzeugung bezie- hungsweise einer mit der Persönlichkeit untrennbar verknüpften Eigen- schaft bewirke einen unerträglichen psychischen Druck, setze voraus, dass die betroffene Person in einem Umfeld zu leben gezwungen sei, in welchem sie Gefahr laufe, dass eben diese Überzeugung oder Eigenschaft entdeckt, denunziert und sanktioniert werde. Je grösser die Gefahr sei, durch eine unbedachte Geste oder Äusserung entdeckt zu werden, und je gravierender die staatliche oder private Sanktionierung im Falle der Entde- ckung ausfalle, desto eher sei davon auszugehen, die betroffene Person stehe unter einem psychisch unerträglichen Druck, weil sie gezwungen sei, ihre Persönlichkeit zu verleugnen und ein Doppelleben zu führen, um nicht entdeckt zu werden (vgl. a.a.O. E. 7.6.2 m.w.H.).</w:t>
      </w:r>
    </w:p>
    <w:p>
      <w:r>
        <w:rPr>
          <w:b/>
        </w:rPr>
        <w:t>E. 6.4.2</w:t>
      </w:r>
    </w:p>
    <w:p>
      <w:r>
        <w:t>Angesichts der Machtübernahme durch die Taliban im August 2021 ist nicht davon auszugehen, dass sich die Situation für Apostaten und Apostatinnen in Afghanistan seit Ergehen des Referenzurteils verbessert hat, weshalb an der bisherigen Rechtsprechung festzuhalten ist (vgl. etwa Urteile des BVGer D-3393/2021 vom 27. Juni 2023 E. 8.6.2 oder D-1950/2022 vom 23. Januar 2023 E. 8.2, je m.w.H.).</w:t>
      </w:r>
    </w:p>
    <w:p>
      <w:r>
        <w:rPr>
          <w:b/>
        </w:rPr>
        <w:t>E. 6.5.1</w:t>
      </w:r>
    </w:p>
    <w:p>
      <w:r>
        <w:t>Gemäss Darstellung des Beschwerdeführers ist seine grundsätzliche Abkehr vom Islam und sein Bekenntnis zum Atheismus erst im Ausland erfolgt. Er hat auch nicht geltend gemacht, sich durch eine öffentliche Ver- breitung seiner religiösen Ansichten besonders exponiert zu haben. Es kann somit davon ausgegangen werden, dass die vorgebrachten athe- istischen Überzeugungen des Beschwerdeführers bisher weder seiner Fa- milie noch weiteren Kreisen im Heimatstaat, namentlich den Taliban, be- kannt geworden sind. Die von ihm geschilderten Anfeindungen durch ju- gendliche Landsleute in der Schweiz – beispielsweise nachdem er eine</w:t>
      </w:r>
    </w:p>
    <w:p>
      <w:r>
        <w:t>E-5119/2021 Seite 9 Pizza mit Schweinefleisch belegt habe (vgl. Protokoll A37 ad F3) – vermö- gen keine andere Einschätzung zu rechtfertigen.</w:t>
      </w:r>
    </w:p>
    <w:p>
      <w:r>
        <w:rPr>
          <w:b/>
        </w:rPr>
        <w:t>E. 6.5.2</w:t>
      </w:r>
    </w:p>
    <w:p>
      <w:r>
        <w:t>Zwar kam es gemäss den Schilderungen des Beschwerdeführers in der Vergangenheit zu gewissen Auseinandersetzungen mit seinem Vater in Bezug auf die Befolgung islamischer Gebote. Dass er nach wie vor in telefonischem Kontakt zu seinen Angehörigen steht (vgl. a.a.O. ad F22 f., F33), lässt aber darauf schliessen, dass er von diesen nicht verstossen worden ist. Auch aus den geltend gemachten Problemen mit einem Mullah während seiner Schulzeit kann nicht auf eine aktuelle Gefährdung ge- schlossen werden. Demnach liegen keine stichhaltigen Gründe für die An- nahme vor, dass der Beschwerdeführer damit rechnen müsste, durch sein Umfeld im Heimatstaat denunziert oder sanktioniert zu werden.</w:t>
      </w:r>
    </w:p>
    <w:p>
      <w:r>
        <w:rPr>
          <w:b/>
        </w:rPr>
        <w:t>E. 6.5.3</w:t>
      </w:r>
    </w:p>
    <w:p>
      <w:r>
        <w:t>Unter diesen Umständen kann davon ausgegangen werden, dass es dem Beschwerdeführer bei einer hypothetischen (angesichts seiner vor- läufigen Aufnahme in der Schweiz) Rückkehr nach Afghanistan möglich wäre, seine religiöse Überzeugung – ohne ein eigentliches Doppelleben führen zu müssen – auf eine Weise auszuleben könnte, dass er dadurch nicht einem unerträglichen psychischen Druck ausgesetzt würde; hierbei dürfte ihm seine auffällige geistige Beweglichkeit und die durch sein Ver- halten nach der Ausreise demonstrierte Anpassungs- und Integrations- fähigkeit zugutekommen.</w:t>
      </w:r>
    </w:p>
    <w:p>
      <w:r>
        <w:rPr>
          <w:b/>
        </w:rPr>
        <w:t>E. 6.5.4</w:t>
      </w:r>
    </w:p>
    <w:p>
      <w:r>
        <w:t>Demnach ergeben sich aus den Akten keine stichhaltigen Anhalts- punkte dafür, dass der Beschwerdeführer begründete Furcht hat, mit er- heblicher Wahrscheinlichkeit in absehbarer Zukunft (vgl. BVGE 2014/27 E. 6.1) flüchtlingsrechtlich relevante Nachteile aufgrund seiner vorgebrach- ten Abwendung vom islamischen Glauben zu erleiden.</w:t>
      </w:r>
    </w:p>
    <w:p>
      <w:r>
        <w:rPr>
          <w:b/>
        </w:rPr>
        <w:t>E. 7</w:t>
      </w:r>
    </w:p>
    <w:p>
      <w:r>
        <w:t>Zusammenfassend ist es dem Beschwerdeführer somit nicht gelungen, eine relevante Verfolgungsgefahr im Sinn von Art. 3 AsylG beziehungs- weise Art. 54 AsylG nachzuweisen oder diese zumindest glaubhaft darzu- tun.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E-5119/2021 Seite 10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in seiner Verfügung vom 11. November 2021 die vorläufige Aufnahme des Beschwerdeführers in der Schweiz angeordnet hat, erübrigen sich – angesichts der alternativen Natur der Wegweisungs- hindernisse –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dem Beschwer- deführer aufzuerlegen (Art. 63 Abs. 1 VwVG). Nachdem mit Instruktions- verfügung vom 30. November 2021 sein Gesuch um Gewährung der un- entgeltlichen Prozessführung gemäss Art. 65 Abs. 1 VwVG gutgeheissen wurde und den Akten keine Hinweise auf eine massgebende Veränderung seiner finanziellen Verhältnisse zu entnehmen sind, ist auf eine Kostenauf- lage zu verzichten.</w:t>
      </w:r>
    </w:p>
    <w:p>
      <w:r>
        <w:rPr>
          <w:b/>
        </w:rPr>
        <w:t>E. 11</w:t>
      </w:r>
    </w:p>
    <w:p>
      <w:r>
        <w:t>Mit der Instruktionsverfügung vom 30. November 2021 wurde auch das Gesuch des Beschwerdeführers um amtliche Verbeiständung gutgeheis- sen und sein Rechtsvertreter als amtlicher Rechtsbeistand eingesetzt. Die- sem ist demnach durch das Gericht ein Honorar für seine notwendigen Aufwendungen im Beschwerdeverfahren auszurichten. Es wurde keine Kostennote zu den Akten gereicht, weshalb die notwendigen Vertretungs- kosten aufgrund der Akten zu bestimmen sind (Art. 14 Abs. 2 Satz 2 des Reglements vom 21. Februar 2008 über die Kosten und Entschädigungen vor dem Bundesverwaltungsgericht (VGKE, SR 173.320.2). Das Honorar für die amtliche Rechtsverbeiständung wird unter Berücksichtigung der massgeblichen Bemessungsfaktoren von Amtes wegen auf insgesamt Fr. 600.– (inkl. Auslagen) festgelegt</w:t>
      </w:r>
    </w:p>
    <w:p>
      <w:r>
        <w:t>E-5119/2021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