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E-5117/2022 vom 8. Dezember 2022</w:t>
      </w:r>
    </w:p>
    <w:p>
      <w:r>
        <w:t>Bundesverwaltungsgericht, 2022-12-08, DE</w:t>
      </w:r>
    </w:p>
    <w:p>
      <w:r>
        <w:rPr>
          <w:b/>
        </w:rPr>
        <w:t xml:space="preserve">Quelle: </w:t>
      </w:r>
      <w:r>
        <w:t>https://mcp.opencaselaw.ch/entscheid/bvger_E-5117_2022</w:t>
      </w:r>
    </w:p>
    <w:p>
      <w:r>
        <w:t>FR: TAF E-5117/2022 du 8 décembre 2022</w:t>
      </w:r>
    </w:p>
    <w:p>
      <w:r>
        <w:t>IT: TAF E-5117/2022 del 8 dicembre 2022</w:t>
      </w:r>
    </w:p>
    <w:p>
      <w:pPr>
        <w:pStyle w:val="Heading2"/>
      </w:pPr>
      <w:r>
        <w:t>Regeste</w:t>
      </w:r>
    </w:p>
    <w:p>
      <w:r>
        <w:t>Asyl (ohne Wegweisungsvollzug)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unter Vorbehalt des unter E. 1.3 Gesagten einzutreten.</w:t>
      </w:r>
    </w:p>
    <w:p>
      <w:r>
        <w:rPr>
          <w:b/>
        </w:rPr>
        <w:t>E. 1.3</w:t>
      </w:r>
    </w:p>
    <w:p>
      <w:r>
        <w:t>Auf das Rechtsbegehren 3, die Staatsangehörigkeit des Beschwerde- führers sei im ZEMIS mit "ohne Staatsangehörigkeit" oder "Staatsangehö- rigkeit unbekannt" (statt Syrien) zu erfassen, ist mangels Anfechtungsob- jekt nicht einzutreten. Aus den Akten ist auch nicht ersichtlich, dass ein ent- sprechendes Gesuch um Datenberichtigung beim SEM eingereicht worden wäre.</w:t>
      </w:r>
    </w:p>
    <w:p>
      <w:r>
        <w:rPr>
          <w:b/>
        </w:rPr>
        <w:t>E. 2</w:t>
      </w:r>
    </w:p>
    <w:p>
      <w:r>
        <w:t>Das Verfahren richtet sich nach dem VwVG, dem VGG und dem BGG so- weit das AsylG nichts anderes bestimmt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Sachverhalts.</w:t>
      </w:r>
    </w:p>
    <w:p>
      <w:r>
        <w:t>E-5117/2022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In formeller Hinsicht rügt der Beschwerdeführer in seiner Beschwerde, dass ihm keine Einsicht in die entscheidrelevanten Akten A7 (Bericht Iden- titätsabklärung), A37 (LINGUA-Rapport) und A38 (LINGUA "Note au dos- sier") gewährt worden sei. Ferner habe die Vorinstanz ihre Pflicht zur voll- ständigen und richtigen Aktenführung verletzt (Rechtsbegehren 1 und 2).</w:t>
      </w:r>
    </w:p>
    <w:p>
      <w:r>
        <w:rPr>
          <w:b/>
        </w:rPr>
        <w:t>E. 5.2</w:t>
      </w:r>
    </w:p>
    <w:p>
      <w:r>
        <w:t>Aus dem Akteneinsichtsrecht als Teilgehalt des rechtlichen Gehörs (Art. 29 Abs. 2 BV, Art. 26 VwVG) folgt, dass den Beteiligten grundsätzlich sämtliche beweiserheblichen Akten offenzulegen sind, sofern in der sie un- mittelbar betreffenden Verfügung darauf abgestellt wird (vgl. BGE 132 V 387 E. 3.1 f.). Gestützt auf Art. 27 VwVG kann die Einsicht in Akten ganz oder teilweise verweigert werden. Aus dem Verhältnismässigkeitsprinzip folgt jedoch, dass der Anspruch auf Akteneinsicht nur soweit wie nötig be- schränkt werden darf.</w:t>
      </w:r>
    </w:p>
    <w:p>
      <w:r>
        <w:rPr>
          <w:b/>
        </w:rPr>
        <w:t>E. 5.2.1</w:t>
      </w:r>
    </w:p>
    <w:p>
      <w:r>
        <w:t>Interne Akten – also Unterlagen, denen für die Behandlung eines Fal- les kein Beweischarakter zukommt, welche vielmehr ausschliesslich der verwaltungsinternen Meinungsbildung dienen und somit nur für den ver- waltungsinternen Gebrauch bestimmt sind (z.B. Entwürfe, Anträge, Noti- zen, Hilfsbelege, Mitberichte etc.; vgl. BGE 129 IV 141 E. 3.3.1 m.w.H.; BVGE 2008/14 E. 6.2.1) – fallen grundsätzlich nicht unter das Einsichts- recht. Davon kann es allerdings Ausnahmen geben, wenn beispielsweise ein verwaltungsintern erstellter Bericht oder Gutachten zu streitigen Sach- verhaltsfragen führen (vgl. BVGE 2011/37 E. 5.4.1 m.w.H.). Im "Bericht Identitätsabklärung" wird jeweils aufgelistet, was bis anhin über die Identität der betroffenen Person bekannt respektive unbekannt sei und in welchen Datenbanken diese Person registriert sei. Bezüglich des Be- schwerdeführers wurde festgehalten, dass er sich nicht mit Identitätspapie- ren habe ausweisen können und in keinen Datenbanken vermerkt sei. Die Akte A7 ist folglich ein Hilfsmittel für die Verfahrensleitung respektive Ent- scheidfindung und wurde vom SEM somit zu Recht als internes Dokument</w:t>
      </w:r>
    </w:p>
    <w:p>
      <w:r>
        <w:t>E-5117/2022 Seite 6 bezeichnet, welches zudem nicht entscheidrelevant ist, zumal die Identität des Beschwerdeführers in der angefochtenen Verfügung nicht bezweifelt wird. Das SEM hat nach dem Gesagten das fragliche Aktenstück zu Recht nicht ediert, weshalb der Antrag auf Einsicht in dieses Aktenstück und ge- gebenenfalls die Gewährung des rechtlichen Gehörs dazu abzuweisen ist.</w:t>
      </w:r>
    </w:p>
    <w:p>
      <w:r>
        <w:rPr>
          <w:b/>
        </w:rPr>
        <w:t>E. 5.2.2</w:t>
      </w:r>
    </w:p>
    <w:p>
      <w:r>
        <w:t>Gemäss Rechtsprechung handelt es sich bei LINGUA-Analysen nicht um Gutachten von Sachverständigen, sondern um schriftliche Auskünfte von Drittpersonen (vgl. BVGE 2014/12 E. 4.2.1 m.w.H.). Bereits die Schweizerische Asylrekurskommission (ARK) anerkannte ein berechtigtes öffentliches und privates Geheimhaltungsinteresse, welches die Verweige- rung der vollumfänglichen Offenlegung einer LINGUA-Analyse an die Asyl- suchenden rechtfertigt. Um dem nach Art. 29 Abs. 1 BV garantierten Grundsatz eines fairen Prozesses zu genügen und den Kerngehalt des rechtlichen Gehörs nach Art. 29 Abs. 2 BV nicht zu verletzen, muss der asylsuchenden Person jedoch grundsätzlich vom wesentlichen Inhalt der Analyse Kenntnis gegeben werden, mit der Möglichkeit, sich dazu zu äus- sern und Gegenbeweise zu bezeichnen (Art. 28 und Art. 30 VwVG; vgl. BVGE 2015/10 E. 5.1 m.H. auf Entscheide und Mitteilungen der ARK [EMARK] 1998 Nr. 34 und 2003 Nr. 14). Dem Beschwerdeführer wurde gemäss dem vorinstanzlichen Aktenver- zeichnis zum Bericht des LINGUA-Experten vom 24. August 2022 (A37) und zur Akte "Note au dossier" vom 29. Juli 2022 (A38) keine Einsicht ge- geben, auch nicht in zusammengefasster Form. Entsprechend wurde ihm auch nicht Gelegenheit zur Stellungnahme gegeben, zumal das LINGUA- Interview nach der Anhörung stattfand. Demgegenüber wurden das LIN- GUA-Interview sowie die wesentliche Schlussfolgerung, nämlich es be- stünden keine Zweifel an der Sozialisierung des Beschwerdeführers im Nordosten von Syrien, in der angefochtenen Verfügung festgehalten. So- dann blieb die geltend gemachte Herkunft des Beschwerdeführers in der angefochtenen Verfügung unbestritten, vielmehr wurde dieses Sachver- haltselement – seine Herkunft aus der Provinz al-Hasaka sowie sein Status als Maktoumin – gerade der Würdigung zu Grunde gelegt. Trotz dem for- mellen Charakter des Anspruchs rechtfertigt sich somit eine Kassation der Verfügung nicht. Die Frage, ob insbesondere in die Aktenstücke A37 und A38 in geeigneter Form Einsicht und anschliessend das rechtliche Gehör zu gewähren ist, stellt sich im Rahmen des derzeit noch erstinstanzlich hängigen Verfahrens betreffend Anerkennung der Staatenlosigkeit unter Umständen anders, ist aber nicht Gegenstand der vorliegenden Überprü- fung und deshalb auch nicht zu beantworten.</w:t>
      </w:r>
    </w:p>
    <w:p>
      <w:r>
        <w:t>E-5117/2022 Seite 7</w:t>
      </w:r>
    </w:p>
    <w:p>
      <w:r>
        <w:rPr>
          <w:b/>
        </w:rPr>
        <w:t>E. 5.3</w:t>
      </w:r>
    </w:p>
    <w:p>
      <w:r>
        <w:t>Die Aktenführungspflicht als Teilgehalt des rechtlichen Gehörs beinhal- tet insbesondere die geordnete Ablage, die Paginierung und die Registrie- rung der vollständigen Akten im Aktenverzeichnis. Sie ergibt sich aus dem Akteneinsichtsrecht des Beschwerdeführers, welches in Art. 26 ff. VwVG geregelt ist (vgl. dazu BVGE 2011/37 E. 5.4.1).</w:t>
      </w:r>
    </w:p>
    <w:p>
      <w:r>
        <w:rPr>
          <w:b/>
        </w:rPr>
        <w:t>E. 5.3.1</w:t>
      </w:r>
    </w:p>
    <w:p>
      <w:r>
        <w:t>Hinsichtlich der Rüge, das SEM habe es unterlassen, sein Schreiben vom 7. Juli 2022 (recte: 6. Juli 2022) im Aktenverzeichnis zu erfassen, gilt anzumerken, dass mit der Einreichung des Gesuchs um Anerkennung der Staatenlosigkeit vom 10. Juni 2022 ein separates Verfahren eröffnet wurde (vgl. Bst. E). Die entsprechende Eingangsbestätigung wurde in jenem Ver- fahren unter der Aktennummer (…)-2/1 erfasst. Soweit ersichtlich, ist jenes Verfahren nach wie vor erstinstanzlich anhängig. Eine Verletzung der Ak- tenführungspflicht ist im vorliegenden Verfahren zu verneinen. Soweit der Beschwerdeführer unter demselben Titel moniert, die angefoch- tene Verfügung müsste unter Umständen aufgehoben und das Asylverfah- ren sistiert werden, bis über die Frage der Staatenlosigkeit entschieden worden sei, verkennt er, dass die Staatenbezeichnung "Syrien" in der an- gefochtenen Verfügung darüber noch nichts aussagt, sondern sich in erster Linie auf den geltend gemachten Herkunftsstaat bezieht. Dieser ist unbe- stritten. Eine Präjudizierung in Bezug auf die Frage der Staatenlosigkeit ergibt sich daraus nicht.</w:t>
      </w:r>
    </w:p>
    <w:p>
      <w:r>
        <w:rPr>
          <w:b/>
        </w:rPr>
        <w:t>E. 5.3.2</w:t>
      </w:r>
    </w:p>
    <w:p>
      <w:r>
        <w:t>Ferner moniert der Beschwerdeführer mit Hinweis auf die Rechtspre- chung, die Konsultation des vorinstanzlichen Dossiers von H._______ (N […]) hätte im Aktenverzeichnis aufgenommen werden müssen. Der Beschwerdeführer hat hinsichtlich des (…) während der Anhörung er- wähnt, dass dieser sein einziger Verwandter in Europa sei, er jedoch nichts über dessen Ausreisegründe wisse (A22 F80 ff.). Daraufhin hat das SEM das Dossier dieses Familienangehörigen konsultiert (vgl. Verfügung S. 6), was sich gemäss bundesverwaltungsgerichtlicher Rechtsprechung im Asylentscheid niederschlagen muss (vgl. Urteil des BVGer E-4122/2016 vom 16. August 2016 E. 6.2.4). Üblicherweise muss eine solche Konsulta- tion im Aktenverzeichnis aber nicht erwähnt werden. Folglich liegt auch diesbezüglich keine Verletzung der Aktenführungspflicht vor. An dieser Einschätzung vermag die vom Beschwerdeführer zitierte Recht- sprechung nichts zu ändern, da sich die erwähnten Urteile mit dem Unter- lassen eines Aktenbeizugs (vgl. E-4122/2016 a.a.O.) respektive mit einer</w:t>
      </w:r>
    </w:p>
    <w:p>
      <w:r>
        <w:t>E-5117/2022 Seite 8 fehlenden Auseinandersetzung einer möglichen Gefährdung aufgrund von familiären Verbindungen (vgl. Urteil des BVGer E-5356/2018 vom 16. No- vember 2020 E. 10.3) befassen.</w:t>
      </w:r>
    </w:p>
    <w:p>
      <w:r>
        <w:rPr>
          <w:b/>
        </w:rPr>
        <w:t>E. 5.4</w:t>
      </w:r>
    </w:p>
    <w:p>
      <w:r>
        <w:t>Zusammenfassend hat das SEM weder das Akteneinsichtsrecht noch seine Aktenführungspflicht verletzt und die Nachholung unter Ansetzung einer Frist zur Stellungnahme fällt ebenso wenig in Betracht wie eine Sis- tierung des Asylverfahrens.</w:t>
      </w:r>
    </w:p>
    <w:p>
      <w:r>
        <w:rPr>
          <w:b/>
        </w:rPr>
        <w:t>E. 6</w:t>
      </w:r>
    </w:p>
    <w:p>
      <w:r>
        <w:t>Das Beschwerdebegehren 4 – Rückweisung der Sache an das SEM zwecks vollständiger und richtiger Abklärung und Feststellung des rechts- erheblichen Sachverhalts und Neubeurteilung – wird mit einem pauschalen Verweis auf die soeben unter E. 5 abgehandelten Rügen begründet, offen- bar habe das SEM es also unterlassen die Vorbringen des Beschwerde- führers vollständig abzuklären und es beschränke sich darauf zu behaup- ten, sie seien nicht asylrelevant (Beschwerdeschrift Art. 19 und 20). Nicht einmal ansatzweise wird auf den angefochtenen Entscheid Bezug genom- men und ausgeführt, inwiefern die Sachverhaltsfeststellung des SEM un- vollständig oder unrichtig sei, geschweige denn, was es weiter abklären müsste. Damit ist der Rückweisungsantrag offensichtlich unbegründet und abzu- 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E-5117/2022 Seite 9 Punkten zu wenig begründet oder in sich widersprüchlich sind, den Tatsa- chen nicht entsprechen oder massgeblich auf gefälschte oder verfälschte Beweismittel abgestützt werden (Art. 7 AsylG).</w:t>
      </w:r>
    </w:p>
    <w:p>
      <w:r>
        <w:rPr>
          <w:b/>
        </w:rPr>
        <w:t>E. 8.1</w:t>
      </w:r>
    </w:p>
    <w:p>
      <w:r>
        <w:t>Die Vorinstanz begründete ihre Verfügung mit der Nichterfüllung der Anforderungen an die Flüchtlingseigenschaft (Art. 3 AsylG). Zwar bestün- den für Angehörige der Maktoumin weitreichende Diskriminierungen und sie seien in vielfacher Hinsicht benachteiligt; damit sei jedoch gemäss gel- tender Rechtsprechung die Anforderungen einer Kollektivverfolgung nicht begründet. Folglich komme den Vorbringen des Beschwerdeführers keine flüchtlingsrechtlich relevante Bedeutung zu. Weitere individuelle Gesuchs- gründe seien seinen Angaben nicht zu entnehmen. Schliesslich seien auch im Dossier von H._______ keine Anhaltspunkte erkennbar, welche auf eine Verfolgung des Beschwerdeführers schliessen lassen würden. Für weitere Details in der Begründung wird auf die angefochtene Verfügung verwiesen.</w:t>
      </w:r>
    </w:p>
    <w:p>
      <w:r>
        <w:rPr>
          <w:b/>
        </w:rPr>
        <w:t>E. 8.2</w:t>
      </w:r>
    </w:p>
    <w:p>
      <w:r>
        <w:t>In seiner Beschwerde wendet der Beschwerdeführer in materieller Hin- sicht ein, dass er als staatenloser Maktoumin völlig recht- und schutzlos sei und bei einer Rückkehr durch das syrische Regime gezielt verfolgt würde.</w:t>
      </w:r>
    </w:p>
    <w:p>
      <w:r>
        <w:rPr>
          <w:b/>
        </w:rPr>
        <w:t>E. 9.1</w:t>
      </w:r>
    </w:p>
    <w:p>
      <w:r>
        <w:t>Das Bundesverwaltungsgericht kommt nach Prüfung der Akten zum Schluss, dass das SEM das Asylgesuch des Beschwerdeführers zu Recht und mit zutreffender Begründung abgewiesen hat.</w:t>
      </w:r>
    </w:p>
    <w:p>
      <w:r>
        <w:rPr>
          <w:b/>
        </w:rPr>
        <w:t>E. 9.2</w:t>
      </w:r>
    </w:p>
    <w:p>
      <w:r>
        <w:t>Nichtregistrierte Kurden aus Syrien (Maktoumin) sind in der Tat vielfäl- tigen Benachteiligungen ausgesetzt (vgl. u.a. Norwegian Refugee Council, Understanding Statelessness in the Syria refugee context, Research Re- port, 2016). Sie verfügen über keine Rechte, sind in keinem offiziellen Be- völkerungsregister aufgenommen und verfügen deshalb über keine staat- lichen Dokumente. Zudem ist auch ihr Zugang zur Gesundheitsversorgung sowie zu Waren und Dienstleistungen beschränkt (vgl. ALEXANDRA GEISER, Staatsbürgerschaft für Ajinab, Schweizerische Flüchtlingshilfe SFH [Hrsg.], 3. Juli 2013). Bereits die ARK hatte festgehalten, dass Angehörige der Maktoumin zwar in vielerlei Hinsicht benachteiligt würden und zahlreichen einschneidenden Restriktionen seitens der Regierung ausgesetzt seien,</w:t>
      </w:r>
    </w:p>
    <w:p>
      <w:r>
        <w:t>E-5117/2022 Seite 10 eine gezielte Verfolgung jedoch nur bei gegen den syrischen Staat gerich- teten Aktivitäten stattfinde und diese die Maktoumin nicht anders treffe als die übrige syrische Bevölkerung (vgl. EMARK 2002 Nr. 23 E. 4d). Das Bun- desverwaltungsgericht hat sich dieser Praxis mit Urteil D-3842/2013 vom 28. November 2013 angeschlossen und bestätigt, dass die Schwelle zur Begründung einer Kollektivverfolgung nicht erreicht sei, zumal die Diskri- minierungen zu wenig intensiv seien, um als asylrelevante Verfolgung im Sinn von Art. 3 AsylG eingestuft zu werden (vgl. Urteil BVGer D-7108/2018 vom 6. Dezember 2019 E. 5.3.1 m.w.H.). Von dieser Praxis ist auch zum heutigen Zeitpunkt nicht abzuweichen. Im Übrigen kann vollumfänglich auf die Begründung der angefochtenen Ver- fügung verwiesen werden. Selbst für den Fall, dass der Beschwerdeführer tatsächlich Maktoumin ist, vermag die blosse Behauptung in der Be- schwerde, eben diese Diskriminierungen seien asylrelevant, jedenfalls zwingend im heutigen Zeitpunkt (Beschwerdeschrift Art. 22 und 23), offen- sichtlich nichts anderes zu bewirken.</w:t>
      </w:r>
    </w:p>
    <w:p>
      <w:r>
        <w:rPr>
          <w:b/>
        </w:rPr>
        <w:t>E. 9.3</w:t>
      </w:r>
    </w:p>
    <w:p>
      <w:r>
        <w:t>Zusammenfassend ist festzustellen, dass die Vorinstanz die Flücht- lingseigenschaft des Beschwerdeführers zu Recht verneint und sein Asyl- gesuch abgelehnt hat.</w:t>
      </w:r>
    </w:p>
    <w:p>
      <w:r>
        <w:rPr>
          <w:b/>
        </w:rPr>
        <w:t>E. 9.4</w:t>
      </w:r>
    </w:p>
    <w:p>
      <w:r>
        <w:t>Lehnt das SEM das Asylgesuch ab oder tritt es darauf nicht ein, so verfügt es in der Regel die Wegweisung aus der Schweiz und ordnet den Vollzug an; es berücksichtigt dabei den Grundsatz der Einheit der Familie (Art. 44 AsylG).</w:t>
      </w:r>
    </w:p>
    <w:p>
      <w:r>
        <w:rPr>
          <w:b/>
        </w:rPr>
        <w:t>E. 9.5</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Aus diesen Erwägungen ergibt sich, dass die angefochtene Verfügung Bundesrecht nicht verletzt, den rechtserheblichen Sachverhalt richtig so- wie vollständig feststellt (Art. 106 Abs. 1 AsylG). Die Beschwerde ist abzu- weisen.</w:t>
      </w:r>
    </w:p>
    <w:p>
      <w:r>
        <w:rPr>
          <w:b/>
        </w:rPr>
        <w:t>E. 11</w:t>
      </w:r>
    </w:p>
    <w:p>
      <w:r>
        <w:t>Mit Entscheid in der Hauptsache ist das Gesuch um Verzicht auf die Erhe- bung eines Kostenvorschusses gegenstandslos geworden. Das Gesuch um Gewährung der unentgeltlichen Prozessführung im Sinne von Art. 65</w:t>
      </w:r>
    </w:p>
    <w:p>
      <w:r>
        <w:t>E-5117/2022 Seite 11 Abs. 1 AsylG ist abzuweisen, da die Begehren – wie sich aus den Erwä- gungen ergibt – als aussichtslos zu bezeichnen sind. 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E-5117/2022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