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E-5116/2013 vom 19. September 2013</w:t>
      </w:r>
    </w:p>
    <w:p>
      <w:r>
        <w:t>Bundesverwaltungsgericht, 2013-09-19, DE</w:t>
      </w:r>
    </w:p>
    <w:p>
      <w:r>
        <w:rPr>
          <w:b/>
        </w:rPr>
        <w:t xml:space="preserve">Quelle: </w:t>
      </w:r>
      <w:r>
        <w:t>https://mcp.opencaselaw.ch/entscheid/bvger_E-5116_2013</w:t>
      </w:r>
    </w:p>
    <w:p>
      <w:r>
        <w:t>FR: TAF E-5116/2013 du 19 septembre 2013</w:t>
      </w:r>
    </w:p>
    <w:p>
      <w:r>
        <w:t>IT: TAF E-5116/2013 del 19 settembre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 unter Vorbehalt der nachstehenden Erwägungen -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Die Begehren auf Feststellung der Flüchtlingseigenschaft, Gewährung von Asyl und Anordnung der vorläufigen Aufnahme gehen über den zulässigen Streitgegenstand hinaus. Auf die Beschwerde ist insoweit nicht einzutreten.</w:t>
      </w:r>
    </w:p>
    <w:p>
      <w:r>
        <w:rPr>
          <w:b/>
        </w:rPr>
        <w:t>E. 4.1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4.2</w:t>
      </w:r>
    </w:p>
    <w:p>
      <w:r>
        <w:t>Die Vorinstanz hält in der angefochtenen Verfügung fest, die spanischen Behörden hätten bereits in einem früheren Dublin-Verfahren ihre Zuständigkeit anerkannt. Auch dem erneuten Übernahmeersuchen des BFM gestützt auf Art. 16 Abs. 1 Bst. c Dublin-II-VO hätten sie zugestimmt. Die Zuständigkeit zur Durchführung des Asyl- und Wegweisungsverfahrens liege somit bei Spanien. Die Überstellung habe bis spätestens am 31. Januar 2014 zu erfolgen. Was die geltend gemachten C._______ anbelange, so sei der Beschwerdeführer seit dem 27. Juli 2013 in Behandlung. Gemäss dem Arztbericht vom 27. August 2013 sei der Wundverschluss abzuwarten, danach könne die Überstellung erfolgen. Das Datum für die Rückstellung werde vom Kanton mit Rücksicht auf die Transportfähigkeit des Beschwerdeführers bestimmt. Das BFM werde zum gegebenen Zeitpunkt die spanischen Behörden über den gesundheitlichen Zustand informieren. Falls sich nach einer Überstellung wider Erwarten erneut gesundheitliche Probleme einstellen würden, so habe Spanien die Richtlinie 2003/9/EG des Rates vom 27. Januar 2003 (sog. Aufnahmerichtlinie) ohne Beanstandung der Europäischen Kommission umgesetzt. Der Beschwerdeführer könne sich an die zuständigen spanischen Behörden wenden. Was die mangelnden Arbeitsmöglichkeiten anbelange, so sei es Sache der spanischen Behörden, den Aufenthaltsstatus des Beschwerdeführers zu regeln.</w:t>
      </w:r>
    </w:p>
    <w:p>
      <w:r>
        <w:rPr>
          <w:b/>
        </w:rPr>
        <w:t>E. 4.3</w:t>
      </w:r>
    </w:p>
    <w:p>
      <w:r>
        <w:t>Der Beschwerdeführer beanstandet die grundsätzliche Zuständigkeit Spaniens nicht. Einzig macht er geltend, es gehe ihm darum, sein Leben zu retten, es zu reorganisieren und seiner Familie zu helfen. Dieser Einwand ist nicht geeignet, den vorinstanzlichen Schluss, Spanien sei für die Behandlung seines Asylgesuchs zuständig, in Frage zu ziehen. Spanien ist Signaturstaat des Abkommens vom 28. Juli 1951 über die Rechtsstellung der Flüchtlinge (FK, SR 0.142.30), der EMRK und des Übereinkommens vom 10. Dezember 1984 gegen Folter oder andere grausame, unmenschliche oder erniedrigende Behandlung oder Strafe (FoK, SR 0.105). Es bestehen keine konkreten Hinweise dafür, wonach sich Spanien nicht an die massgebenden völkerrechtlichen Bestimmungen halten würde. Soweit sich der Beschwerdeführer sinngemäss auf die Ausheilung seiner Verbrennungswunden beruft, hat die Vorinstanz in der angefochtenen Verfügung ausdrücklich festgehalten, dass eine Überstellung nach Spanien erst nach dem Wundverschluss vorzunehmen sei. Sodann hat Spanien die Richtlinie 2003/9/EG des Rates vom 27. Januar 2003 (Aufnahmerichtlinie) ohne Beanstandungen von Seiten der Europäischen Kommission umgesetzt und es existieren nach den Erkenntnissen des Gerichts nebst den staatlichen Strukturen zahlreiche private Hilfsorganisationen, welche Asylsuchende betreuen. Bei allfälligen gesundheitlichen Problemen nach einer Überstellung nach Spanien wäre somit die medizinische Betreuung des Beschwerdeführers gewährleistet. Weitergehend ist um Wiederholungen zu vermeiden, auf die zutreffenden Erwägungen in der angefochtenen Verfügung zu verweisen. Damit besteht auch keine Veranlassung für einen Selbsteintritt der Schweiz.</w:t>
      </w:r>
    </w:p>
    <w:p>
      <w:r>
        <w:rPr>
          <w:b/>
        </w:rPr>
        <w:t>E. 4.4</w:t>
      </w:r>
    </w:p>
    <w:p>
      <w:r>
        <w:t>Insgesamt bestehen somit keine Anhaltspunkte dafür, dass der Beschwerdeführer im Falle einer Überstellung nach Spanien in eine existentielle Notlage geraten würde. Die Vorinstanz ist somit zu Recht in Anwendung von Art. 34 Abs. 2 Bst. d AsylG auf das Asylgesuch des Beschwerdeführers nicht eingetreten.</w:t>
      </w:r>
    </w:p>
    <w:p>
      <w:r>
        <w:rPr>
          <w:b/>
        </w:rPr>
        <w:t>E. 5.1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Nichteintretensentscheids stattzufinden (vgl. BVGE 2010/45 E. 8.2.3 und 10.2). Die Vorinstanz hat in diesem Sinne den Vollzug der Wegweisung nach Spanien zu Recht als zulässig, zumutbar und möglich bezeichnet.</w:t>
      </w:r>
    </w:p>
    <w:p>
      <w:r>
        <w:rPr>
          <w:b/>
        </w:rPr>
        <w:t>E. 6</w:t>
      </w:r>
    </w:p>
    <w:p>
      <w:r>
        <w:t>Nach dem Gesagten ergibt sich, dass die angefochtene Verfügung Bundesrecht nicht verletzt und auch sonst nicht zu beanstanden ist (Art. 106 AsylG). Die Beschwerde ist abzuweisen, soweit darauf einzutreten ist. Mit dem vorliegenden Urteil sind die Anträge auf Gewährung der aufschiebenden Wirkung und Erlass vorsorglicher Massnahmen im Zusammenhang mit einer allfälligen Datenweitergabe gegenstandslos geworden. Was den Antrag auf Erlass einer separaten Verfügung betreffend eine bereits erfolgte Datenweitergabe anbelangt, sind den Akten keine entsprechenden Hinweise zu entnehmen.</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8</w:t>
      </w:r>
    </w:p>
    <w:p>
      <w:r>
        <w:t>Bei diesem Ausgang des Verfahrens sind die Kosten von Fr. 600. - (Art. 1 - 3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