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E-5110/2012 vom 25. Oktober 2012</w:t>
      </w:r>
    </w:p>
    <w:p>
      <w:r>
        <w:t>Bundesverwaltungsgericht, 2012-10-25, DE</w:t>
      </w:r>
    </w:p>
    <w:p>
      <w:r>
        <w:rPr>
          <w:b/>
        </w:rPr>
        <w:t xml:space="preserve">Quelle: </w:t>
      </w:r>
      <w:r>
        <w:t>https://mcp.opencaselaw.ch/entscheid/bvger_E-5110_2012</w:t>
      </w:r>
    </w:p>
    <w:p>
      <w:r>
        <w:t>FR: TAF E-5110/2012 du 25 octobre 2012</w:t>
      </w:r>
    </w:p>
    <w:p>
      <w:r>
        <w:t>IT: TAF E-5110/2012 del 25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wobei auf die Durchführung eines Schriftenwechsels verzichtet wurde (Art. 111a Abs. 1 AsylG).</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der Beschwerdeführerin und ihrer Tochter ab, da ihre Vorbringen den Anforderungen an die Glaubwürdigkeit gemäss Art. 7 AsylG nicht standhielten. Da die Botschaftsabklärung vom 2. Juni 2012 ergeben habe, dass die Beschwerdeführerin Sri Lanka am 17. Januar 2007 mit ihrem sri-lankischen Reisepass über K._______ verlassen habe und seither nicht mehr nach Sri Lanka zurückgekehrt sei, sei davon auszugehen, sie habe die für den Zeitraum von Juni 2006 bis am 9. Januar 2008 geltend gemachte Inhaftierung nicht erlebt. Entsprechend sei dem Botschaftsbericht zu entnehmen, dass sie auch nicht in der Datenbank des IKRK, welches in Haft gesetzte Personen registriere, aufgenommen worden sei. Die von ihr im Rahmen des rechtlichen Gehörs vom 17. Juli 2012 vorgebrachten Erklärungsversuche seien bezeichnenderweise nicht überzeugend ausgefallen, um die von der Botschaft gewonnen Erkenntnisse umzustossen. So bestreite sie darin lediglich, ihre Heimat bereits am 17. Januar 2007 verlassen zu haben und behaupte weiterhin, erst im Jahre 2008 aus Sri Lanka ausgereist zu sein. Ihrem entsprechenden Vorhalt, sie habe ihren Reisepass der Agentur abgeben müssen, was sie sowohl anlässlich der Befragung als auch anlässlich der Anhörung bereits deponiert habe, sei ferner entgegenzuhalten, dass sie im Rahmen der Anhörung zu Protokoll gegeben habe, ihr Vater habe ihre Ausreise im Jahr 2008 organisiert. Auch stehe die Ausführung im Affidavit, die Beschwerdeführerin habe zeitlebens mit ihrer Familie in C._______ gelebt, im Widerspruch zu den geltend gemachten Vorbringen. So gehe aus dem Dokument hervor, dass sie seit Geburt bis am 13. September 2008 mit ihrer Familie an derselben Adresse in C._______ zusammengelebt habe, was in Widerspruch zu ihrer Behauptung stehe, wonach sie von Juni 2006 bis im Januar 2008 in Haft gewesen sei und die letzten Monate vor ihrer Ausreise bei einer Freundin respektive bei deren Verwandten und später noch zwei Monate in einem vom Schlepper organisierten Zimmer in L._______ gelebt habe. Ferner stünden auch ihre Angaben bezüglich des Umzugs der Familie im Jahr 2005 nach D._______ (Colombo) im Widerspruch zum Inhalt des Affidavits. Bezeichnenderweise habe die Beschwerdeführerin weder Polizei- noch Gerichtsakten, die das angeblich eingeleitete Verfahren gegen sie untermauern könnten, eingereicht, wie dies tatsächlich verfolgte Asylsuchende gewöhnlich täten. Die als gefälscht erkannte Haftbestätigung des Police Head Quarters in J._______ vom 13. Oktober 2008 sei einzuziehen. Indem sie anlässlich der Befragung angegeben habe, erstmals im August 2006 eine Woche und im März 2007 noch ein zweites Mal festgenommen worden zu sein, um während der Anhörung zu deponieren, sie sei Ende Juni 2006 festgenommen, daraufhin ungefähr sieben Monate auf dem Polizeiposten von F._______ festgehalten und schliesslich zum Polizeiposten G._______ transferiert worden, wo sie vergewaltigt worden sei, habe sie sich auch in Bezug auf die Anzahl der Festnahmen in Widersprüche verstrickt. Die zu den Akten gereichten übrigen Dokumente seien nicht geeignet, diese Einschätzung umzustossen. So würden der Bestätigung des General Hospital J._______ vom 20. August 2009 sowie dem anwaltlichen Schreiben vom 14. Dezember 2009 kein Beweiswert zukommen, da solche Dokumente in Sri Lanka ohne Weiteres unrechtmässig erworben werden könnten, und aus den ihren Bruder betreffenden Dokumenten könne sie nichts zu ihren Gunsten ableiten.</w:t>
      </w:r>
    </w:p>
    <w:p>
      <w:r>
        <w:rPr>
          <w:b/>
        </w:rPr>
        <w:t>E. 5.2</w:t>
      </w:r>
    </w:p>
    <w:p>
      <w:r>
        <w:t>Wie das BFM kommt auch das Bundesverwaltungsgericht zum Schluss, dass die von der Beschwerdeführerin geltend gemachten Verfolgungsgründe als insgesamt unglaubhaft zu werten sind und sie somit im Zeitpunkt des Verlassens ihres Heimatlandes nicht in asylrelevanter Weise verfolgt worden ist. Aufgrund der Akten erweisen sich die Erwägungen des BFM zu der geltend gemachten Inhaftierung, dem Ausreisezeitpunkt und den -umständen sowie zu den Wohnverhältnissen als zutreffend und es kann vollumfänglich darauf verwiesen werden. Aus ihrer Beschwerdeeingabe geht auch nichts hervor, was die Erwägungen in Zweifel zu ziehen vermag. Bezeichnenderweise nimmt sie in der Beschwerde zu den von der Vorinstanz aufgezeigten Unstimmigkeitsmerkmalen nicht Stellung, sondern beschränkt sich lediglich darauf, auf dem Wahrheitsgehalt ihrer Vorbringen zu beharren. Damit legt sie aber nicht substanziiert dar, inwiefern die Vorinstanz zu Unrecht auf Unglaubhaftigkeit ihrer Vorbringen geschlossen hat. Ebenso wenig ist der Einwand, wonach die Beschwerdeführerin bei einer Rückkehr nach Sri Lanka Gefahr laufe, von (...) und (...) bei den heimatlichen Behörden denunziert zu werden, geeignet, um zu einem anderen Schluss zu kommen. Vielmehr handelt es sich dabei um eine nachgeschobene und durch nichts belegte Behauptung, um ihrem Asylgesuch mehr Gewicht zu verleihen. Die Beschwerdeführerin hat somit nichts vorgebracht, was geeignet wäre, ihre Flüchtlingseigenschaft nachzuweisen oder glaubhaft zu machen. Die Vorinstanz hat demnach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und ihre Tochter verfügen weder über eine ausländerrechtliche Aufenthaltsbewilligung noch über einen Anspruch auf Erteilung einer solchen. Die Wegweisung wurde demnach zu Recht angeordnet (vgl. BVGE 2009/50 E. 9 S. 733 m.H.a. Entscheidungen und Mitteilungen der vormaligen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nach Sri Lanka ist demnach unter dem Aspekt von Art. 5 AsylG rechtmässig. Sodann ergeben sich weder aus den Aussagen der Beschwerdeführerin noch aus den Akten Anhaltspunkte dafür, dass sie und ihre Tochter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ihrem Heimatstaat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hielt in seinem Grundsatzurteil BVGE 2011/24 zur aktuellen Lage in Sri Lanka hinsichtlich des Wegweisungsvollzugs fest, dass dieser in das gesamte Gebiet der Ostprovinz grundsätzlich zumutbar ist (a.a.O. E. 13.1). Auch der Wegweisungsvollzug in die Nordprovinz ist grundsätzlich zumutbar, wobei sich eine zurückhaltende Beurteilung der individuellen Zumutbarkeitskriterien sowie eine Berücksichtigung des zeitlichen Elementes aufdrängt (a.a.O. E. 13.2.1). Weiterhin als unzumutbar muss der Wegweisungsvollzug für das Vanni-Gebiet gelten, welches zu Beginn des Jahres 2008 noch von den LTTE kontrolliert wurde und in welchem sich in der Folge bis zum endgültigen Sieg über die LTTE die Kriegshandlungen abgespielt haben (a.a.O. E. 13.2.2). Für Personen, die hingegen aus dem übrigen Staatsgebiet Sri Lankas (d.h. die Provinzen North Central, North Western, Central, Western [namentlich der Grossraum Colombo], Southern, Sabarugamuwa und die Uva-Provinz) stammen und dorthin zurückkehren, ist der Wegweisungsvollzug grundsätzlich zumutbar (a.a.O. E. 13.3).</w:t>
      </w:r>
    </w:p>
    <w:p>
      <w:r>
        <w:rPr>
          <w:b/>
        </w:rPr>
        <w:t>E. 7.4.2</w:t>
      </w:r>
    </w:p>
    <w:p>
      <w:r>
        <w:t>Die Beschwerdeführerin stammt aus C._______ (Provinz Sabarugamuwa), wohin der Vollzug der Wegweisung - entgegen ihrer Ansicht - unter Berücksichtigung der aktuellen Rechtsprechung des Bundesverwaltungsgerichts zumutbar ist. Zudem ist sie jung und gemäss den Akten gesund, hat in ihrer Heimat ein (...) und ein (...) erworben und weist auf diesen Gebieten Berufserfahrung aus. Zudem hat sie mit ihren Eltern in C._______ und mit ihrem sri-lankischen Lebenspartner respektive dem Vater ihrer Tochter, dessen in der Schweiz gestelltes Asylgesuch rechtskräftig abgewiesen worden ist, über ein tragfähiges Beziehungsnetz in ihrer Heimat. Unter diesen Umständen ist davon auszugehen, die Beschwerdeführerin verfüge über die notwendigen Voraussetzungen, die ihr eine soziale und berufliche Wiedereingliederung in ihrem Heimatstaat und die damit einhergehende Existenzsicherung ermöglichen. Dem steht auch das Wohl ihres Kindes nicht entgegen. Nach dem Gesagten erweist sich der Vollzug der Wegweisung unter Verweis auf die zutreffenden Erwägungen des BFM auch als zumutbar.</w:t>
      </w:r>
    </w:p>
    <w:p>
      <w:r>
        <w:rPr>
          <w:b/>
        </w:rPr>
        <w:t>E. 7.5</w:t>
      </w:r>
    </w:p>
    <w:p>
      <w:r>
        <w:t>Schliesslich obliegt es der Beschwerdeführerin, sich bei der zuständigen Vertretung des Heimatstaates die für eine Rückkehr notwendigen Reisedokumente für sich und ihr Kind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Das in ihrer Beschwerdeschrift gestellte Gesuch um Verzicht auf die Erhebung eines Kostenvorschusses ist mit vorliegendem Urteil ohne vorgängige Instruktion gegenstandslos geworden.</w:t>
      </w:r>
    </w:p>
    <w:p>
      <w:r>
        <w:rPr>
          <w:b/>
        </w:rPr>
        <w:t>E. 10</w:t>
      </w:r>
    </w:p>
    <w:p>
      <w:r>
        <w:t>Bei diesem Ausgang der Beschwerde sind die Kosten von Fr. 600.- der Beschwerdeführerin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