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E-5104/2023 vom 21. August 2023</w:t>
      </w:r>
    </w:p>
    <w:p>
      <w:r>
        <w:t>Bundesverwaltungsgericht, 2023-08-21, DE</w:t>
      </w:r>
    </w:p>
    <w:p>
      <w:r>
        <w:rPr>
          <w:b/>
        </w:rPr>
        <w:t xml:space="preserve">Quelle: </w:t>
      </w:r>
      <w:r>
        <w:t>https://mcp.opencaselaw.ch/entscheid/bvger_E-5104_2023_d20230821</w:t>
      </w:r>
    </w:p>
    <w:p>
      <w:r>
        <w:t>FR: TAF E-5104/2023 du 21 août 2023</w:t>
      </w:r>
    </w:p>
    <w:p>
      <w:r>
        <w:t>IT: TAF E-5104/2023 del 21 agosto 2023</w:t>
      </w:r>
    </w:p>
    <w:p>
      <w:pPr>
        <w:pStyle w:val="Heading2"/>
      </w:pPr>
      <w:r>
        <w:t>Regeste</w:t>
      </w:r>
    </w:p>
    <w:p>
      <w:r>
        <w:t>Asyl und Wegweisung | Asyl und Wegweisung; Verfügung des SEM vom 21. August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E-5104/2023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4.3</w:t>
      </w:r>
    </w:p>
    <w:p>
      <w:r>
        <w:t>Das Bundesverwaltungsgericht hat die Anforderungen an das Glaub- haftmachen der Vorbringen in verschiedenen Entscheiden dargelegt und folgt dabei ständiger Praxis. Darauf kann hier verwiesen werden (vgl. BVGE 2015/3 E. 6.5.1 sowie 2012/5 E. 2.2).</w:t>
      </w:r>
    </w:p>
    <w:p>
      <w:r>
        <w:rPr>
          <w:b/>
        </w:rPr>
        <w:t>E. 4.4</w:t>
      </w:r>
    </w:p>
    <w:p>
      <w:r>
        <w:t>Die Flüchtlingseigenschaft gemäss Art. 3 AsylG erfüllt eine asylsu- chende Person nach Lehre und Rechtsprechung dann, wenn sie Nachteile von bestimmter Intensität erlitten hat beziehungsweise mit beachtlicher</w:t>
      </w:r>
    </w:p>
    <w:p>
      <w:r>
        <w:t>E-5104/2023 Seite 6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2013/11 E. 5.1; BVGE 2008/4 E. 5.2 S. 37). Begründete Furcht vor Verfol- gung im Sinne von Art. 3 Abs. 1 AsylG liegt vor, wenn ein konkreter Anlass zur Annahme besteht, letztere hätte sich – aus der Sicht im Zeitpunkt der Ausreise – mit beachtlicher Wahrscheinlichkeit und in absehbarer Zeit ver- wirklicht oder werde sich – aus heutiger Sicht – mit ebensolcher Wahr- scheinlichkeit in absehbarer Zukunft verwirklichen (BVGE 2010/57 E. 2.5). Aufgrund der Subsidiarität des flüchtlingsrechtlichen Schutzes setzt die An- erkennung der Flüchtlingseigenschaft ausserdem voraus, dass die be- troffene Person in ihrem Heimatland keinen ausreichenden Schutz finden kann (vgl. BVGE 2011/51 E. 7, 2008/12 E. 7.2.6.2., 2008/4 E. 5.2). Ge- mäss der Schutztheorie ist somit die flüchtlingsrechtliche Relevanz einer nichtstaatlichen Verfolgung vom Vorhandensein eines adäquaten Schutzes durch den Heimatstaat abhängig. Dieser Schutz ist als hinreichend zu qua- lifizieren, wenn die betroffene Person effektiven Zugang zu einer funktio- nierenden und effizienten Schutzinfrastruktur hat und ihr die Inanspruch- nahme eines solchen innerstaatlichen Schutzsystems individuell zumutbar ist (vgl. BVGE 2011/51 E. 7.3).</w:t>
      </w:r>
    </w:p>
    <w:p>
      <w:r>
        <w:rPr>
          <w:b/>
        </w:rPr>
        <w:t>E. 5.1</w:t>
      </w:r>
    </w:p>
    <w:p>
      <w:r>
        <w:t>Die Vorinstanz begründete ihre Verfügung damit, es könne nicht ge- glaubt werden, dass der Beschwerdeführer im Nachgang an eine (…) noch Bedrohungen erlebt habe und die geltend gemachte Vergewaltigung im Zu- sammenhang mit der (…) stehe. Es falle auf, dass sich die beiden Schilde- rungen des Beschwerdeführers (BVGer: in der Anhörung und in der Befra- gung) bezüglich der Bedrohung durch einen fremden Mann im Spitalzim- mer auffallend stark entsprechen würden und es sich teilweise sogar um wörtliche Wiederholungen handle. Die zweite Schilderung umfasse keine zusätzlichen, neuen Informationen, welche bei der ersten Schilderung noch nicht genannt worden seien. Die Schilderungen würden sich einzig in seiner Reaktion auf die Drohung durch den Fremden unterscheiden. Er habe auf den ihm vorgehaltenen Widerspruch erklärt, dass er sich aufgrund der vielen traumatischen Ereignisse nicht an alles erinnern könne. Jedoch habe er die Vergewaltigung mit auffallend vielen Details und Einzelheiten vorgetragen, womit er den Widerspruch nicht zu erklären und von der Glaubhaftigkeit des Vorbringens nicht zu überzeugen vermöge. Ferner seien seine Schilderungen zum Besuch seines Vorgesetzten bei ihm im Spitalzimmer trotz mehrfacher Möglichkeit, sich dazu zu äussern,</w:t>
      </w:r>
    </w:p>
    <w:p>
      <w:r>
        <w:t>E-5104/2023 Seite 7 auffallend summarisch ausgefallen. Sie würden kaum Realkennzeichen enthalten und würden substanziell nicht überzeugen. So habe er die tat- sächliche Interaktion zwischen ihm und seinem Vorgesetzten nur in weni- gen Sätzen wiederzugeben vermocht. Bezüglich des geschilderten Aufent- halts im Krankenhaus würde dieses Vorbringen Realitätsbezug aufweisen und sei durch Beweismittel dokumentiert. Es sei möglich, dass er eine Si- tuation wie den Krankenhausaufenthalt persönlich erlebt habe. Ferner zeige der Strukturvergleich mit seiner Schilderung der (…), bei der die (…) gefunden und durch die (…) sichergestellt worden seien, dass er in der Lage sei, umfassend und detailreich zu schildern und auf Nachfrage wei- tere Informationen zu geben. Ferner erstaune es, dass ihm im Kranken- haus kein polizeilicher Schutz zugeteilt worden sei, welcher das Eindringen eines fremden Mannes in sein Krankenzimmer hätte verhindern können, zumal aufgrund seiner Angaben ein Gewaltverbrechen aus Sicht der Poli- zei und des Krankenhauspersonals nicht auszuschliessen gewesen wäre. Auffallend sei zudem, dass er sich in Anbetracht der Drohungen durch den fremden Mann nicht intensiver mit seiner Gefährdungslage auseinander- gesetzt habe. Im Weiteren führte die Vorinstanz aus, es handle sich bei der geltend ge- machten Verbindung des türkischen Staates mit Mafiagruppierungen in un- terschiedlichen Ländern um Spekulationen und Interpretationen des Be- schwerdeführers. Es bestünden keine konkreten Hinweise darauf, dass eine solche Verbindung zwischen Staat und Mafia tatsächlich bestehe, und daraus eine Verfolgung des Beschwerdeführers hervorgehe. Das objektive Element der begründeten Furcht sei folglich zu verneinen. Sein Vorbringen sei flüchtlingsrechtlich nicht relevant. Ohne die geltend gemachte Vergewaltigung zu verkennen, habe der Be- schwerdeführer deren Umstände nicht glaubhaft zu machen vermocht. Die Rechtsprechung gehe vom Schutzwillen und von der Schutzfähigkeit des türkischen Staates aus. Angesichts des beruflichen Hintergrundes und der Beziehungen des Beschwerdeführers spreche nichts gegen eine Inan- spruchnahme der türkischen Schutzinfrastruktur. Aufgrund seiner unglaub- haften Ausführungen sei zwar die Urheberschaft des geltend gemachten Übergriffs nicht bekannt. Jedoch gehe auch das Bundesverwaltungsgericht bei Übergriffen durch Personen in Verbindung mit der Mafia nicht von feh- lendem Schutzwillen und -fähigkeit der türkischen Behörden aus. Aus dem zu beurteilenden Sachverhalt würde die staatliche Schutzpflicht und Schutzwilligkeit klar hervorgehen.</w:t>
      </w:r>
    </w:p>
    <w:p>
      <w:r>
        <w:t>E-5104/2023 Seite 8</w:t>
      </w:r>
    </w:p>
    <w:p>
      <w:r>
        <w:rPr>
          <w:b/>
        </w:rPr>
        <w:t>E. 5.2</w:t>
      </w:r>
    </w:p>
    <w:p>
      <w:r>
        <w:t>Der Beschwerdeführer weist in seiner Rechtsmitteleingabe hinsichtlich der ihm zugestossenen Gewalttat vorab auf die vorinstanzlichen Akten. Weiter bringt er neu vor, es liege eine politisch motivierte Strafverfolgung seitens des türkischen Staates aufgrund seiner Tätigkeit als (…) vor. Er sei als mutmasslicher Gülenist zu sechs Jahren und drei Monaten Gefängnis verurteilt worden. Er habe die diesbezüglichen Dokumente bisher nicht vor- legen können. Er sei aufgrund der erlittenen Gewalttat aus psychischen Gründen nicht imstande gewesen, diesen Sachverhalt vorzutragen, und habe ihn anlässlich der Anhörungen fälschlicherweise als nebensächlich abgetan. Er könne ihn mit entsprechenden Beweismitteln (Video vom Ein- stieg in UYAP-Verzeichnis, begründetes Urteil, Haftanordnung, Befra- gungsbericht) belegen. Das SEM habe keine Gelegenheit gehabt, sich mit den neu eingereichten Beweismitteln auseinanderzusetzen. Er leide über- dies aufgrund der im Zusammenhang mit seiner (…) Tätigkeit erlebten Fol- ter an einer Langzeittraumatisierung, welche es ihm psychologisch verun- mögliche, ins Heimatland zurückzukehren. Diesen Aspekt habe das SEM nicht geprüft, weshalb die Sache zwecks (neuer) Begründung und Würdi- gung zurückzuweisen sei.</w:t>
      </w:r>
    </w:p>
    <w:p>
      <w:r>
        <w:rPr>
          <w:b/>
        </w:rPr>
        <w:t>E. 6.1</w:t>
      </w:r>
    </w:p>
    <w:p>
      <w:r>
        <w:t>Das Bundesverwaltungsgericht gelangt nach Prüfung der Akten zum Schluss, dass die vorinstanzlichen Erwägungen zutreffend sind. Zur Ver- meidung von Wiederholungen ist somit vorab auf diese zu verweisen. Die Ausführungen in der Beschwerdeeingabe und die eingereichten Beweis- mittel vermögen keine andere Einschätzung zu rechtfertigen.</w:t>
      </w:r>
    </w:p>
    <w:p>
      <w:r>
        <w:rPr>
          <w:b/>
        </w:rPr>
        <w:t>E. 6.2</w:t>
      </w:r>
    </w:p>
    <w:p>
      <w:r>
        <w:t>Wie bereits in der Zwischenverfügung vom 4. Oktober 2023 ausge- führt, beschränkt sich der Beschwerdeführer in seiner Beschwerdeeingabe in Bezug auf die Erwägungen der Vorinstanz lediglich darauf, auf die vor- instanzlichen Akten zu verweisen, ohne sich mit den Argumenten in der angefochtenen Verfügung auseinanderzusetzen. Insbesondere hat es die Vorinstanz zu Recht als unglaubhaft erachtet, dass sich die vorgebrachte Vergewaltigung wie vom Beschwerdeführer geschildert im Zusammenhang mit einer (…) (…) zugetragen hat. In Bezug auf die Vergewaltigung und weitere Übergriffe auf ihn kann wie von der Vorinstanz zutreffend erwogen auf die diesbezügliche Rechtsprechung des BVGer hingewiesen werden, gemäss der vom bestehenden Schutzwillen und der Schutzfähigkeit der türkischen Behörden ausgegangen werden kann (vgl. beispielsweise Urteil E-3722/2023 vom 17. Juli 2023 E. 6.1 m.w.H.).</w:t>
      </w:r>
    </w:p>
    <w:p>
      <w:r>
        <w:t>E-5104/2023 Seite 9</w:t>
      </w:r>
    </w:p>
    <w:p>
      <w:r>
        <w:rPr>
          <w:b/>
        </w:rPr>
        <w:t>E. 6.3</w:t>
      </w:r>
    </w:p>
    <w:p>
      <w:r>
        <w:t>Soweit der Beschwerdeführer in seiner Rechtsmitteleingabe erstmals vorbringt, er sei in einem – gemäss den eingereichten Unterlagen im Jahre 2018 eröffneten – Gerichtsverfahren zu einer über sechsjährigen Haftstrafe verurteilt worden, erweist sich dieser Sachverhalt als nachgeschoben. Sei- nem Erklärungsversuch, wonach er dieses Strafverfahren fälschlicher- weise als nebensächlich abgetan habe, kann nicht gefolgt werden, handelt es sich doch bei dem ihm gemachten Vorwurf der politischen Tätigkeit im Rahmen seiner (…) Tätigkeit respektive der zu erwartenden Verurteilung um eine für die davon betroffene Person einschneidende Angelegenheit. Es ist auch nicht ersichtlich, dass es dem Beschwerdeführer aus psychi- schen Gründen verunmöglicht gewesen wäre, dieses Verfahren bereits im vorinstanzlichen Verfahren vorzutragen. Zwar bereitete es ihm grosse Mühe, gewisse Erlebnisse vorzutragen (vgl. A12 S. 8 und 14 f.). Dabei han- delte es sich indes um weitaus einschneidendere Erlebnisse – eine Verge- waltigung und körperliche Übergriffe –, über die er schliesslich berichtet hat. Darüber hinaus ist zu bezweifeln, dass er von 2018 bis 2022 im türki- schen (…) als (…) gearbeitet hat und an (…) (…) beteiligt war und ihm für seine (…) am 16. August 2022 gratuliert worden wäre (vgl. A11 F8, F43 ff. und A10), wenn gegen ihn im Jahre 2018 tatsächlich ein Strafverfahren aus politischen Gründen eingeleitet worden wäre. Es ist vielmehr davon auszu- gehen, dass ein solches Verfahren zum sofortigen Ausschluss aus der von ihm angegebenen ([…]) Tätigkeit geführt hätte. Schliesslich handelt es sich bei den eingereichten Beweismitteln, die das genannte Strafverfahren samt Verurteilung belegen sollen, ohnehin nur um Kopien, denen aufgrund ihrer Beschaffenheit nur ein beschränkter Beweiswert zukommt. Nach dem Gesagten erweist sich das erstmals auf Beschwerdeebene geltend ge- machte Strafverfahren aus politischen Gründen als unglaubhaft. Folglich erübrigt es sich die Vorinstanz einzuladen, zu diesem (neuen) Vorbringen Stellung zu nehmen. Der diesbezügliche Rückweisungsantrag ist abzuwei- sen.</w:t>
      </w:r>
    </w:p>
    <w:p>
      <w:r>
        <w:rPr>
          <w:b/>
        </w:rPr>
        <w:t>E. 6.4</w:t>
      </w:r>
    </w:p>
    <w:p>
      <w:r>
        <w:t>Entgegen den Ausführungen des Beschwerdeführers, wonach er aufgrund der erlebten Folter im Sinne einer Langzeittraumatisierung (unter Hinweis auf das Handbuch Asyl und Rückkehr des SEM Artikel D1 Flüchtlingseigenschaft, S. 22 [Flüchtlingsanerkennung trotz Wegfalls der Verfolgungsgefahr]) sinngemäss die Voraussetzungen "zwingender Gründe" im gemäss Art. 1 C Ziff. 5 FK erfülle, ist festzustellen, dass diese Norm das vormalige Bestehen der Flüchtlingseigenschaft voraussetzt, was im vorliegenden Fall – wie oben dargelegt – verneint wird.</w:t>
      </w:r>
    </w:p>
    <w:p>
      <w:r>
        <w:t>E-5104/2023 Seite 10</w:t>
      </w:r>
    </w:p>
    <w:p>
      <w:r>
        <w:rPr>
          <w:b/>
        </w:rPr>
        <w:t>E. 6.5</w:t>
      </w:r>
    </w:p>
    <w:p>
      <w:r>
        <w:t>Zusammenfassend hat der Beschwerdeführer nichts vorgebracht, was geeignet wäre, seine Flüchtlingseigenschaft nachzuweisen oder zumindest glaubhaft zu machen. Die Vorinstanz hat sein Asylgesuch zu Recht abge- 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w:t>
      </w:r>
    </w:p>
    <w:p>
      <w:r>
        <w:t>E-5104/2023 Seite 11 erniedrigende Behandlung oder Strafe (FoK, SR 0.105) und der Praxis zu Art. 3 EMRK darf niemand der Folter oder unmenschlicher oder erniedri- 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Laut konstanter Praxis ist in der Türkei nicht von einer flächendecken- den Situation allgemeiner Gewalt oder bürgerkriegsähnlichen Verhältnis- sen auszugehen. Die allgemeine Sicherheitslage steht damit einem Voll- zug der Wegweisung des Beschwerdeführers in seinen Heimatstaat nicht entgegen.</w:t>
      </w:r>
    </w:p>
    <w:p>
      <w:r>
        <w:t>E-5104/2023 Seite 12</w:t>
      </w:r>
    </w:p>
    <w:p>
      <w:r>
        <w:rPr>
          <w:b/>
        </w:rPr>
        <w:t>E. 8.4.2</w:t>
      </w:r>
    </w:p>
    <w:p>
      <w:r>
        <w:t>Wie die Vorinstanz zutreffend ausgeführt hat, handelt es sich beim Beschwerdeführer um einen jungen Mann mit einer sehr guten Ausbildung (u.a. Universitätsabschlüsse, Abschluss der (…) mit Bachelor) sowie ver- schiedene Arbeitserfahrungen (bei der […] und auf dem Bau). Er kann auf mit seiner Mutter und seiner Schwester auf ein Beziehungsnetz zurückgrei- fen (vgl. A12 F8 ff.). In der Beschwerde wird den diesbezüglichen zutref- fenden Ausführungen des SEM nichts entgegengehalten, so dass vollum- fänglich auf diese verwiesen werden kann.</w:t>
      </w:r>
    </w:p>
    <w:p>
      <w:r>
        <w:rPr>
          <w:b/>
        </w:rPr>
        <w:t>E. 8.4.3</w:t>
      </w:r>
    </w:p>
    <w:p>
      <w:r>
        <w:t>Im Weiteren spricht auch aus medizinischer Sicht nichts gegen eine Rückkehr des Beschwerdeführers in seinen Heimatstaat. Den vorinstanz- lichen Akten kann entnommen werden, dass er vom 13. –14. April 2023 wegen suizidaler Äusserungen in der UPD hospitalisiert war. Seither wur- den keine Arztberichte mehr eingereicht. Wie von der Vorinstanz zutreffend ausgeführt, kann sich der Beschwerdeführer, sollte er auf eine psychologi- sche oder psychiatrische Behandlung angewiesen sein, auch in der Türkei behandeln lassen (vgl. das Urteil des BVGer E-4851/2022 vom 5. Januar 2023 E. 8.3, m.H.). Es ist auch davon auszugehen, dass der Beschwerde- führer Zugang zu adäquater medizinischer Behandlung erhalten wird, zu- mal er im Nachgang an die auf ihn erfolgten Übergriffe bereits in der Türkei in Behandlung gewesen war. Unter diesen Umständen sprechen auch keine gesundheitlichen Gründe gegen einen Wegweisungsvollzug in die Türkei. Einer vorliegend nicht auszuschliessenden vorübergehenden Ver- schlechterung seines Gesundheitszustandes ist im Rahmen der Ausgestal- tung der Vollzugsmodalitäten Rechnung zu tragen, indem eine sorgfältige Vorbereitung erfolgt und geeignete medizinische Massnahmen getroffen werden sowie eine adäquate Betreuung sichergestellt wird. Ohne die psy- chischen Leiden des Beschwerdeführers bei einer Rückkehr zu verkennen, ist aufgrund der Aktenlage nicht davon auszugehen, er würde bei einer Rückkehr in die Türkei aus individuellen Gründen wirtschaftlicher, sozialer oder gesundheitlicher Natur in eine seine Existenz gefährdende Situation geraten, die als konkrete Gefährdung im Sinne der zu beachtenden Be- stimmung zu werten wäre (Art. 83 Abs. 4 AIG).</w:t>
      </w:r>
    </w:p>
    <w:p>
      <w:r>
        <w:rPr>
          <w:b/>
        </w:rPr>
        <w:t>E. 8.4.4</w:t>
      </w:r>
    </w:p>
    <w:p>
      <w:r>
        <w:t>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auch BVGE</w:t>
      </w:r>
    </w:p>
    <w:p>
      <w:r>
        <w:t>E-5104/2023 Seite 13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Der am 19. Oktober 2023 in gleicher Höhe geleistete Kos- tenvorschuss ist zur Bezahlung der Verfahrenskosten zu verwenden.</w:t>
      </w:r>
    </w:p>
    <w:p>
      <w:r>
        <w:t>(Dispositiv nächste Seite)</w:t>
      </w:r>
    </w:p>
    <w:p>
      <w:r>
        <w:t>E-5104/2023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