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E-50/2022 vom 6. Dezember 2021</w:t>
      </w:r>
    </w:p>
    <w:p>
      <w:r>
        <w:t>Bundesverwaltungsgericht, 2021-12-06, DE</w:t>
      </w:r>
    </w:p>
    <w:p>
      <w:r>
        <w:rPr>
          <w:b/>
        </w:rPr>
        <w:t xml:space="preserve">Quelle: </w:t>
      </w:r>
      <w:r>
        <w:t>https://mcp.opencaselaw.ch/entscheid/bvger_E-50_2022_d20211206</w:t>
      </w:r>
    </w:p>
    <w:p>
      <w:r>
        <w:t>FR: TAF E-50/2022 du 6 décembre 2021</w:t>
      </w:r>
    </w:p>
    <w:p>
      <w:r>
        <w:t>IT: TAF E-50/2022 del 6 dicembre 2021</w:t>
      </w:r>
    </w:p>
    <w:p>
      <w:pPr>
        <w:pStyle w:val="Heading2"/>
      </w:pPr>
      <w:r>
        <w:t>Regeste</w:t>
      </w:r>
    </w:p>
    <w:p>
      <w:r>
        <w:t>Asyl (ohne Wegweisungsvollzug) | Asyl und Wegweisung (ohne Wegweisungsvollzug); Verfügung des SEM vom 6. Dezember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als Verfügungsadressatin und ihr in das Asylverfahren eingeschlossene Kind (vgl. oben Bst. G) sind zur Beschwerdeführung legi- 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Die Beschwerdeführerin wurde mit Verfügung vom 6. Dezember 2021 als Flüchtling anerkannt und aufgrund der Unzulässigkeit des Wegweisungs- vollzugs vorläufig in der Schweiz aufgenommen. Gegenstand des vorlie- genden Verfahrens bildet somit allein die Frage, ob die Vorinstanz zu Recht das Asylgesuch abgelehnt hat.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w:t>
      </w:r>
    </w:p>
    <w:p>
      <w:r>
        <w:t>E-50/2022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hält in der angefochtenen Verfügung fest, der Umstand, dass die Beschwerdeführerin keine landwirtschaftlichen Felder zugeteilt bekom- men und von den Lebensmittelrationen ausgeschlossen worden sei, ent- falte keine Asylrelevanz. Dasselbe gelte für die geltend gemachte Haft. Es sei darin keine aktuelle Bedrohungslage zu erkennen, zumal die Be- schwerdeführerin durch eine Bürgschaft ihres Onkels freigelassen worden sei und in ihr Dorf habe zurückkehren können. Aufgrund der erlittenen Haft wegen der versuchten illegalen Ausreise, dem Nichtbezahlen von 50'000 Nakfa für die Bürgschaft und der erneuten illegalen Ausreise habe sie aber begründete Furcht vor zukünftigen asylrelevanten Nachteilen, weshalb sie die Flüchtlingseigenschaft erfülle. Die flüchtlingsrelevanten Elemente seien erst mit ihrer illegalen Ausreise aus Eritrea entstanden. Deshalb werde sie gestützt auf Art. 54 AsylG vom Asyl ausgeschlossen. Sie werde aber aufgrund der Unzulässigkeit des Wegweisungsvollzugs vorläufig aufgenommen.</w:t>
      </w:r>
    </w:p>
    <w:p>
      <w:r>
        <w:rPr>
          <w:b/>
        </w:rPr>
        <w:t>E. 4.2</w:t>
      </w:r>
    </w:p>
    <w:p>
      <w:r>
        <w:t>In ihrer Beschwerde hält die Beschwerdeführerin dem entgegen, dass die implizite Unterscheidung zwischen bereits erlittenen und erst zu be- fürchtenden Nachteilen unlogisch sei. Sie habe Zwangsarbeit verrichten müssen und sei vergewaltigt worden, was als genügend intensiv im Sinne von Art. 3 AsylG anzusehen sei. Die Haft sei zeitlich und sachlich kausal gewesen für ihre Ausreise. Mit ihrem Willen, das Land zu verlassen, habe sie ihre Kritik am herrschenden System dokumentiert. Sie sei deshalb auf- grund ihrer politischen Anschauung verfolgt worden.</w:t>
      </w:r>
    </w:p>
    <w:p>
      <w:r>
        <w:rPr>
          <w:b/>
        </w:rPr>
        <w:t>E. 4.3</w:t>
      </w:r>
    </w:p>
    <w:p>
      <w:r>
        <w:t>Das SEM hält in seiner Vernehmlassung vollumfänglich an seiner Ver- fügung fest und führt betreffend die erlittene Zwangsarbeit und den sexu- ellen Missbrauch aus, die Intensität dieser Nachteile sei nicht bestritten. Es sei jedoch nicht ersichtlich, weshalb die Beschwerdeführerin nach ihrer Freilassung eine begründete Furcht gehabt hätte, diesbezüglich weitere Nachteile zu erleiden. Die Gefahr künftiger (erneuter) Verfolgung sei erst durch die danach erfolgte illegale Ausreise gesetzt worden.</w:t>
      </w:r>
    </w:p>
    <w:p>
      <w:r>
        <w:rPr>
          <w:b/>
        </w:rPr>
        <w:t>E. 4.4</w:t>
      </w:r>
    </w:p>
    <w:p>
      <w:r>
        <w:t>In der Replik hält die Beschwerdeführerin dem im Wesentlichen entge- gen, wenn schon die Furcht vor Zwangsarbeit und Vergewaltigung und</w:t>
      </w:r>
    </w:p>
    <w:p>
      <w:r>
        <w:t>E-50/2022 Seite 6 somit einer asylrelevanten Verfolgung zur Anerkennung der Flüchtlingsei- genschaft genüge, dann tue es das tatsächliche Erleiden derselben umso mehr. Die Vorinstanz erläutere nicht, inwiefern ein qualitativer Unterschied zwischen den beiden «Spielarten» bestehen soll. Es spiele keine Rolle, zu welchem Zeitpunkt sich die Furcht manifestiert habe. Die Aussagen der Beschwerdeführerin zu der erlebten Zeit nach ihrer Haftentlassung – sie sei nicht zum Vorgesetzten zurückgekehrt, weil sie gewusst habe, dass man sie noch bestrafen werde – deuteten darauf hin, dass die Verfolgung in jenem Zeitpunkt noch nicht abgeschlossen gewesen sei.</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 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 künftigen Verfolgung begründen. Durch Republikflucht zum Flüchtling wird, wer wegen illegaler Ausreise Sanktionen des Heimatstaates befürchten muss, die bezüglich ihrer Intensität ernsthafte Nachteile im Sinne von Art. 3 AsylG darstellen (vgl. Urteil des BVGer E-773/2017 vom 10. Februar 2020 E. 6.1; BVGE 2009/29 E. 5.1).</w:t>
      </w:r>
    </w:p>
    <w:p>
      <w:r>
        <w:t>E-50/2022 Seite 7</w:t>
      </w:r>
    </w:p>
    <w:p>
      <w:r>
        <w:rPr>
          <w:b/>
        </w:rPr>
        <w:t>E. 5.2</w:t>
      </w:r>
    </w:p>
    <w:p>
      <w:r>
        <w:t>Zunächst ist festzuhalten, dass das SEM zu Recht die Asylrelevanz der Nachteile, welche die Beschwerdeführerin in Zusammenhang mit der Aus- reise ihres Ehemanns geltend machte (Verweigerung der Zuteilung von Feldern und Ausschluss von Lebensmittelrationen) verneint hat, da diese nicht genügend intensiv im Sinne von Art. 3 AsylG sind. Auf die entspre- chenden Ausführungen der Vorinstanz kann zur Vermeidung von Wieder- holungen verwiesen werden; diese sind nicht zu beanstanden (vgl. ange- fochtene Verfügung Ziffer II 1). Diesen Erwägungen wird in der Be- schwerde auch nichts Stichhaltiges entgegengehalten.</w:t>
      </w:r>
    </w:p>
    <w:p>
      <w:r>
        <w:rPr>
          <w:b/>
        </w:rPr>
        <w:t>E. 5.3</w:t>
      </w:r>
    </w:p>
    <w:p>
      <w:r>
        <w:t>Die Erlebnisse der Beschwerdeführerin in Haft werden nicht bestritten und die Schwere derselben wird nicht in Abrede gestellt. Jedoch ist festzu- halten, dass das Asylrecht nicht zur Wiedergutmachung von geschehenem Unrecht dient. Entgegen der Auffassung in der Beschwerde wird auch für den Fall bereits erlittener Nachteile für die Gewährung von Asyl vorausge- setzt, dass sich eine objektiv begründete Furcht vor asylrelevanter Verfol- gung im Zeitpunkt der Ausreise mit beachtlicher Wahrscheinlichkeit und in absehbarer Zeit verwirklicht hätte (vgl. oben E. 5.1; vgl. auch Urteile des BVGer E-4582/2018 vom 26. November 2020 E. 6.4; D-4438/2016 vom</w:t>
      </w:r>
    </w:p>
    <w:p>
      <w:r>
        <w:rPr>
          <w:b/>
        </w:rPr>
        <w:t>E. 5.4</w:t>
      </w:r>
    </w:p>
    <w:p>
      <w:r>
        <w:t>Aus diesen Erwägungen ergibt sich, dass die angefochtene Verfügung Bundesrecht nicht verletzt sowie den rechtserheblichen Sachverhalt richtig und vollständig feststellt (Art. 106 AsylG). Die Beschwerde ist folglich ab- zuweisen.</w:t>
      </w:r>
    </w:p>
    <w:p>
      <w:r>
        <w:t>E-50/2022 Seite 9 6. Da das SEM in seiner Verfügung vom 6. Dezember 2021 die vorläufige Aufnahme der Beschwerdeführerin angeordnet hat – und am 16. Januar 2025 den Einschluss ihres Sohnes in die vorläufige Aufnahme verfügt hat – sowie angesichts der alternativen Natur der Wegweisungsvollzugshin- dernisse erübrigen sich praxisgemäss Ausführungen zur Zulässigkeit, Zu- mutbarkeit und Möglichkeit des Wegweisungsvollzugs (vgl. BVGE 2009/51 E. 5.4 m.w.H.).</w:t>
      </w:r>
    </w:p>
    <w:p>
      <w:r>
        <w:t>7. 7.1 Bei diesem Ausgang des Verfahrens wären die Kosten grundsätzlich den Beschwerdeführenden aufzuerlegen (Art. 63 Abs. 1 VwVG). Mit Zwi- schenverfügung vom 27. Januar 2022 wurde die unentgeltliche Prozess- führung gemäss Art. 65 Abs. 1 VwVG unter der Voraussetzung des Nach- reichens einer Fürsorgebestätigung gewährt und am 11. Februar 2022 reichte die Beschwerdeführerin eine Fürsorgebestätigung vom 7. Februar 2022 zu den Akten. Es ist aufgrund der Aktenlage nach wie vor von der Bedürftigkeit der Beschwerdeführenden auszugehen, weshalb keine Ver- fahrenskosten zu erheben sind. 7.2 Das Gesuch um amtliche Rechtsverbeiständung wurde ebenfalls gut- geheissen und der Beschwerdeführerin die rubrizierte Rechtsvertreterin als amtliche Rechtsbeiständin beigeordnet. Die notwendigerweise erwachse- nen Parteikosten sind deshalb durch das Bundesverwaltungsgericht zu übernehmen (Art. 102m Abs. 1 Bst. a und Abs. 4 AsylG i.V.m. Art. 9–14 des Reglements vom 21. Februar 2008 über die Kosten und Entschädigun- gen vor dem Bundesverwaltungsgericht [VGKE, SR 173.320.2]). In der mit der Eingabe vom 11. Februar 2022 eingereichten Kostennote wurden eine «Dossiereröffnungspauschale» von Fr. 50.–, ein Arbeitsaufwand von ins- gesamt sechs Honorarstunden à Fr. 150.– sowie Auslagen von Fr. 166.30 (Dolmetscherkosten und Portospesen) ausgewiesen. Der für die Verfas- sung der Beschwerde geltend gemachte zeitliche Aufwand von insgesamt sechs Stunden erscheint im Verhältnis zu anderen Verfahren gleichen Um- fangs zu hoch und ist um einen Drittel zu reduzieren, womit sich ein zeitli- cher Aufwand von insgesamt vier Stunden für die Verfassung der Be- schwerdeschrift ergibt. Ferner wird eine Eröffnungspauschale praxisge- mäss nicht vergütet (vgl. statt vieler: Urteil des BVGer E-6477/2019 vom 4. März 2024 E. 11). Auf die Nachforderung einer aktualisierten Kosten- note kann verzichtet werden, da der übrige Aufwand für die Rechtsvertre- tung zuverlässig abgeschätzt werden kann (Art. 14 Abs. 2 in fine VGKE). Unter Berücksichtigung der massgebenden Bemessungsfaktoren (Art. 9–</w:t>
      </w:r>
    </w:p>
    <w:p>
      <w:r>
        <w:t>E-50/2022 Seite 10</w:t>
      </w:r>
    </w:p>
    <w:p>
      <w:r>
        <w:rPr>
          <w:b/>
        </w:rPr>
        <w:t>E. 6</w:t>
      </w:r>
    </w:p>
    <w:p>
      <w:r>
        <w:t>Da das SEM in seiner Verfügung vom 6. Dezember 2021 die vorläufige Aufnahme der Beschwerdeführerin angeordnet hat - und am 16. Januar 2025 den Einschluss ihres Sohnes in die vorläufige Aufnahme verfügt hat - sowie angesichts der alternativen Natur der Wegweisungsvollzugshindernisse erübrigen sich praxisgemäss Ausführungen zur Zulässigkeit, Zumutbarkeit und Möglichkeit des Wegweisungsvollzugs (vgl. BVGE 2009/51 E. 5.4 m.w.H.).</w:t>
      </w:r>
    </w:p>
    <w:p>
      <w:r>
        <w:rPr>
          <w:b/>
        </w:rPr>
        <w:t>E. 7.1</w:t>
      </w:r>
    </w:p>
    <w:p>
      <w:r>
        <w:t>Bei diesem Ausgang des Verfahrens wären die Kosten grundsätzlich den Beschwerdeführenden aufzuerlegen (Art. 63 Abs. 1 VwVG). Mit Zwischenverfügung vom 27. Januar 2022 wurde die unentgeltliche Prozessführung gemäss Art. 65 Abs. 1 VwVG unter der Voraussetzung des Nachreichens einer Fürsorgebestätigung gewährt und am 11. Februar 2022 reichte die Beschwerdeführerin eine Fürsorgebestätigung vom 7. Februar 2022 zu den Akten. Es ist aufgrund der Aktenlage nach wie vor von der Bedürftigkeit der Beschwerdeführenden auszugehen, weshalb keine Verfahrenskosten zu erheben sind.</w:t>
      </w:r>
    </w:p>
    <w:p>
      <w:r>
        <w:rPr>
          <w:b/>
        </w:rPr>
        <w:t>E. 7.2</w:t>
      </w:r>
    </w:p>
    <w:p>
      <w:r>
        <w:t>Das Gesuch um amtliche Rechtsverbeiständung wurde ebenfalls gutgeheissen und der Beschwerdeführerin die rubrizierte Rechtsvertreterin als amtliche Rechtsbeiständin beigeordnet. Die notwendigerweise erwachsenen Parteikosten sind deshalb durch das Bundesverwaltungsgericht zu übernehmen (Art. 102m Abs. 1 Bst. a und Abs. 4 AsylG i.V.m. Art. 9-14 des Reglements vom 21. Februar 2008 über die Kosten und Entschädigungen vor dem Bundesverwaltungsgericht [VGKE, SR 173.320.2]). In der mit der Eingabe vom 11. Februar 2022 eingereichten Kostennote wurden eine «Dossiereröffnungspauschale» von Fr. 50.-, ein Arbeitsaufwand von insgesamt sechs Honorarstunden à Fr. 150.- sowie Auslagen von Fr. 166.30 (Dolmetscherkosten und Portospesen) ausgewiesen. Der für die Verfassung der Beschwerde geltend gemachte zeitliche Aufwand von insgesamt sechs Stunden erscheint im Verhältnis zu anderen Verfahren gleichen Umfangs zu hoch und ist um einen Drittel zu reduzieren, womit sich ein zeitlicher Aufwand von insgesamt vier Stunden für die Verfassung der Beschwerdeschrift ergibt. Ferner wird eine Eröffnungspauschale praxisgemäss nicht vergütet (vgl. statt vieler: Urteil des BVGer E-6477/2019 vom 4. März 2024 E. 11). Auf die Nachforderung einer aktualisierten Kostennote kann verzichtet werden, da der übrige Aufwand für die Rechtsvertretung zuverlässig abgeschätzt werden kann (Art. 14 Abs. 2 in fine VGKE). Unter Berücksichtigung der massgebenden Bemessungsfaktoren (Art. 9-13 VGKE) ist der Rechtsvertreterin somit ein Honorar von Fr. 842.- (inkl. Auslagen) aus der Gerichtskasse zu entrichten (Art. 12 und Art. 14 Abs. 2 VGKE). (Dispositiv nächste Seite)</w:t>
      </w:r>
    </w:p>
    <w:p>
      <w:r>
        <w:rPr>
          <w:b/>
        </w:rPr>
        <w:t>E. 8</w:t>
      </w:r>
    </w:p>
    <w:p>
      <w:r>
        <w:t>Mai 2019 E. 6.7). Die subjektiv empfundene Furcht der Beschwerdeführerin aufgrund ihrer Erlebnisse in Haft ist zwar verständlich. Sie wohnte aber nach ihrer Frei- lassung bis zu ihrer Ausreise weitere vier Monate mit ihrer Familie in C._______, wo sie auch vor ihrer Haft gemeinsam mit ihrem Sohn, ihren drei Brüdern und ihrer Mutter gelebt hatte (vgl. SEM act. […]-[nachfolgend: ]18/15 F11 ff., F66). Für diesen Zeitraum macht sie weder geltend, sich versteckt gehalten zu haben, noch unterlag sie einer Meldepflicht (vgl. SEM act. 30/12 F43 ff.). Aufgrund ihres ersten Versuchs der illegalen Ausreise, welcher den Grund für ihre achtmonatige Haft darstellte, sowie aufgrund der zuvor erfolgten Ausreise ihres Ehemanns ist davon auszugehen, dass der eritreische Staat vom Ausreisewillen der Beschwerdeführerin wusste. Die Behörden mussten daher damit rechnen, dass sie erneut versuchen würde auszureisen. Dass die eritreischen Behörden sie trotzdem während vier Monaten unbehelligt liessen, spricht gegen ein Verfolgungsinteresse zum Zeitpunkt der Ausreise. Somit ist die Regelvermutung, wonach bei er- littener asylrelevanter Vorverfolgung eine begründete Furcht vor zukünfti- ger Verfolgung abzuleiten ist, vorliegend durchbrochen, zumal in objektiver Hinsicht nicht genügend Hinweise auf eine Wiederholungsgefahr der früher erlittenen Verfolgung bestanden haben (vgl. Urteil des BVGer E-773/2017 vom 10. Februar 2020 E. 5.4.1 m.w.H.).</w:t>
      </w:r>
    </w:p>
    <w:p>
      <w:r>
        <w:t>E-50/2022 Seite 8 Dafür spricht auch der Umstand, dass die Familie der Beschwerdeführerin nicht gleich im Anschluss an ihre illegale Ausreise behelligt wurde, sondern erst nach Ablauf der sechsmonatigen Frist für die Bezahlung einer Bürg- schaft von 50'000 Nakfa (vgl. SEM act. 18/15 F88). Wie die Beschwerde- führerin selbst angab, hätten sich dann die Behörden bei ihrem Onkel er- kundigt, wo sie sei (vgl. a.a.O.). Als er ihnen mitgeteilt habe, dass sie das Land verlassen habe, hätten sie ihn wiederum vor die Wahl gestellt: Ent- weder bezahle er die Bürgschaft oder er werde inhaftiert (vgl. a.a.O.). Der Onkel sei dann (anstelle der Beschwerdeführerin) während neun Monaten inhaftiert worden. Somit haben die eritreischen Behörden erst von ihrer il- legalen Ausreise erfahren, als sie nach Ablauf der sechsmonatigen Frist die 50'000 Nakfa einfordern wollten. Dies stellt ein Indiz dafür dar, dass die Verfolgungsgefahr erst in diesem Moment wieder eine Aktualisierung er- fuhr. Hätten nämlich die Behörden im Moment der Ausreise der Beschwer- deführerin tatsächlich ein asylrelevantes Verfolgungsinteresse gehabt, hät- ten sie ihre illegale Ausreise mit überwiegender Wahrscheinlichkeit schon früher bemerkt. Die Tatsache, dass der Onkel sofort freigelassen wurde, nachdem die Mutter (durch Verkauf ihres Goldschmucks und das Beisteu- ern von Geld durch ihre Geschwister) die Bürgschaft bezahlt hat, spricht ebenfalls gegen ein asylrelevantes Verfolgungsinteresse an der Beschwer- deführerin seitens der eritreischen Behörden (vgl. SEM act. 18/15 F88; SEM act. 30/12 F52). Im Zeitpunkt ihrer Ausreise unterlag die Beschwerdeführerin somit keiner flüchtlingsrechtlich relevanten Verfolgung. Sie hat jedoch unbestrittener- massen Eritrea illegal verlassen. Auch ist sie den eritreischen Behörden angesichts des achtmonatigen Gefängnisaufenthalts infolge des ersten Ausreiseversuchs bekannt. Damit bestehen Anknüpfungspunkte im Sinne des Referenzurteils D-7898/2015 vom 30. Januar 2017, welche zu einer Verschärfung des Profils und damit vorliegend zu einer flüchtlingsrechtli- chen Verfolgungsgefahr im Sinne von Art. 3 AsylG, hingegen in Anwendung von Art. 54 AsylG nicht – wie vom SEM zutreffend erwogen – zur Gewäh- rung von Asyl im Sinne von Art. 2 AsylG führen.</w:t>
      </w:r>
    </w:p>
    <w:p>
      <w:r>
        <w:rPr>
          <w:b/>
        </w:rPr>
        <w:t>E. 13</w:t>
      </w:r>
    </w:p>
    <w:p>
      <w:r>
        <w:t>VGKE) ist der Rechtsvertreterin somit ein Honorar von Fr. 842.– (inkl. Auslagen) aus der Gerichtskasse zu entrichten (Art. 12 und Art. 14 Abs. 2 VGKE).</w:t>
      </w:r>
    </w:p>
    <w:p>
      <w:r>
        <w:t>(Dispositiv nächste Seite)</w:t>
      </w:r>
    </w:p>
    <w:p>
      <w:r>
        <w:t>E-50/2022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