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E-5096/2016 vom 25. April 2017</w:t>
      </w:r>
    </w:p>
    <w:p>
      <w:r>
        <w:t>Bundesverwaltungsgericht, 2017-04-25, DE</w:t>
      </w:r>
    </w:p>
    <w:p>
      <w:r>
        <w:rPr>
          <w:b/>
        </w:rPr>
        <w:t xml:space="preserve">Quelle: </w:t>
      </w:r>
      <w:r>
        <w:t>https://mcp.opencaselaw.ch/entscheid/bvger_E-5096_2016</w:t>
      </w:r>
    </w:p>
    <w:p>
      <w:r>
        <w:t>FR: TAF E-5096/2016 du 25 avril 2017</w:t>
      </w:r>
    </w:p>
    <w:p>
      <w:r>
        <w:t>IT: TAF E-5096/2016 del 25 aprile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112 Abs. 3 AsylG in Verbindung mit Art. 38 der Testphasenverordnung vom 4. September 2013 [TestV, SR 142.318.1] und Art. 52 Abs. 1 VwVG) ist unter Vorbehalt der nachstehenden Erwägung 3.2 einzutreten.</w:t>
      </w:r>
    </w:p>
    <w:p>
      <w:r>
        <w:rPr>
          <w:b/>
        </w:rPr>
        <w:t>E. 2</w:t>
      </w:r>
    </w:p>
    <w:p>
      <w:r>
        <w:t>Die Kognition des Bundesverwaltungsgerichts und die zulässigen Rügen richten sich im Asylbereich nach Art. 106 Abs. 1 AsylG.</w:t>
      </w:r>
    </w:p>
    <w:p>
      <w:r>
        <w:rPr>
          <w:b/>
        </w:rPr>
        <w:t>E. 3.1</w:t>
      </w:r>
    </w:p>
    <w:p>
      <w:r>
        <w:t>Gegenstand des vorliegenden Beschwerdeverfahrens bildet die Flüchtlingseigenschaft, der Asylpunkt und die Wegweisung des Beschwerdeführers. Der Wegweisungsvollzug ist nicht mehr zu prüfen, nachdem die Vor-instanz den Beschwerdeführer wegen Unzumutbarkeit des Vollzugs der Wegweisung vorläufig aufgenommen hat.</w:t>
      </w:r>
    </w:p>
    <w:p>
      <w:r>
        <w:rPr>
          <w:b/>
        </w:rPr>
        <w:t>E. 3.2</w:t>
      </w:r>
    </w:p>
    <w:p>
      <w:r>
        <w:t>Da das Rechtsbegehren, die angefochtene Verfügung sei aufzuheben, auch die Aufhebung der zu seinen Gunsten ausfallenden Ziffern 4 und 5 des Dispositivs beinhaltet, mangelt es ihm diesbezüglich an einem schutzwürdigen Interesse, weshalb insoweit auf die Beschwerde nicht einzutreten ist.</w:t>
      </w:r>
    </w:p>
    <w:p>
      <w:r>
        <w:rPr>
          <w:b/>
        </w:rPr>
        <w:t>E. 4.1</w:t>
      </w:r>
    </w:p>
    <w:p>
      <w:r>
        <w:t>Die Beschwerde erweist sich - wie nachfolgend ausgeführt - als offensichtlich unbegründet und ist im Verfahren einzelrichterlicher Zuständigkeit mit Zustimmung eines zweiten Richters (Art. 111 Bst. e AsylG), mit summarischer Urteilsbegründung zu behandeln (Art. 111a Abs. 2 AsylG).</w:t>
      </w:r>
    </w:p>
    <w:p>
      <w:r>
        <w:rPr>
          <w:b/>
        </w:rPr>
        <w:t>E. 4.2</w:t>
      </w:r>
    </w:p>
    <w:p>
      <w:r>
        <w:t>Dem Beschwerdeführer wurde mit Zwischenverfügung vom 26. August 2016 die unentgeltliche Prozessführung gewährt, die Beschwerde also nicht als aussichtslos qualifiziert. Dies steht einer Behandlung der vorliegenden Beschwerde im Verfahren nach Art. 111 Bst. e AsylG indes nicht entgegen (vgl. dazu ausführlich Urteil des BVGer E-4923/2016 vom 9. Februar 2017 E. 2.2).</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gelangt in der angefochtenen Verfügung zunächst zum Schluss, die Vorbringen des Beschwerdeführers hielten den Anforderungen an das Glaubhaftmachen gemäss Art. 7 AsylG nicht stand. Der Beschwerdeführer habe sich unvereinbar zu den Umständen über die Einberufung in den Militärdienst nach C._______ geäussert. Seine Angaben über die Dauer seines Aufenthaltes beziehungsweise den Zeitpunkt seiner Abreise seien widersprüchlich. Zudem seien seine Aussagen betreffend seine Flucht aus dem Militärlager in C._______ wenig substantiiert ausgefallen. Er habe sich insgesamt in wesentlichen Punkten widersprochen und sich weder differenziert noch substantiiert geäussert.</w:t>
      </w:r>
    </w:p>
    <w:p>
      <w:r>
        <w:rPr>
          <w:b/>
        </w:rPr>
        <w:t>E. 6.2</w:t>
      </w:r>
    </w:p>
    <w:p>
      <w:r>
        <w:t>In der Rechtsmitteleingabe äussert sich der Beschwerdeführer zu diesem Schluss nicht, mithin rügt er diesbezüglich keine Rechtsverletzung. Eine solche ist auch nicht ersichtlich. Um Wiederholungen zu vermeiden, kann auf die zutreffenden Erwägungen in der angefochtenen Verfügung verwiesen werden.</w:t>
      </w:r>
    </w:p>
    <w:p>
      <w:r>
        <w:rPr>
          <w:b/>
        </w:rPr>
        <w:t>E. 7.1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7.2</w:t>
      </w:r>
    </w:p>
    <w:p>
      <w:r>
        <w:t>Die Vorinstanz gelangt in der angefochtenen Verfügung weiter zum Schluss, die illegale Ausreise sei aufgrund einer neuen Beurteilung nicht mehr asylrelevant.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Diasporasteuer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demnach eine untergeordnete Rolle. Der Beschwerdeführer habe weder den Nationaldienst verweigert noch sei er desertiert. Seine diesbezüglichen Ausführungen seien - wie dargelegt - unglaubhaft ausgefallen. Er habe somit nach den aktuellen Erkenntnissen des SEM nicht gegen die Proclamation on National Service von 1995 verstossen. Den Akten seien auch sonst keine Anhaltspunkte zu entnehmen, wonach er bei einer Rückkehr nach Eritrea ernsthafte Nachteile zu gewärtigen hätte. Seine Vorbringen bezüglich der illegalen Ausreise seien somit asylrechtlich unbeachtlich.</w:t>
      </w:r>
    </w:p>
    <w:p>
      <w:r>
        <w:rPr>
          <w:b/>
        </w:rPr>
        <w:t>E. 7.3</w:t>
      </w:r>
    </w:p>
    <w:p>
      <w:r>
        <w:t>In der Rechtsmitteleingabe wird die Praxisänderung der Vorinstanz kritisiert und ausführlich dargelegt, weshalb die Vorgehensweise und die veränderte Praxis nicht zulässig seien. Dazu äussert sich die Vorinstanz wiederum ausführlich in der Vernehmlassung.</w:t>
      </w:r>
    </w:p>
    <w:p>
      <w:r>
        <w:rPr>
          <w:b/>
        </w:rPr>
        <w:t>E. 7.4</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vorgenanntes Referenzurteil des BVGer). Da allein aufgrund einer illegalen Ausreise aus Eritrea keine begründete Furcht vor asylrechtlich beachtlicher Verfolgung angenommen werden könne (ausführlich dazu das vorgenannte Referenzurteil E. 4.6-5.1), kann vorliegend offen bleiben, ob der Beschwerdeführer sein Heimatland illegal verlassen hat.</w:t>
      </w:r>
    </w:p>
    <w:p>
      <w:r>
        <w:rPr>
          <w:b/>
        </w:rPr>
        <w:t>E. 7.5</w:t>
      </w:r>
    </w:p>
    <w:p>
      <w:r>
        <w:t>Die Frage der Zulässigkeit der Praxisänderung der Vorinstanz bezüglich der flüchtlingsrechtlichen Beurteilung der illegalen Ausreise aus Eritrea ist vom Bundesverwaltungsgericht somit geklärt worden. Dabei wurde auch kein Verstoss gegen die COI-Richtlinien, wie es in der Beschwerde vorgebracht wird, festgestellt. Das Gericht kam zum Schluss, dass allein aufgrund einer illegalen Ausreise keine begründete Furcht vor asylrechtlich beachtlicher Verfolgung angenommen werden könne (vgl. oben E. 7.4). Da die Ausführungen des Beschwerdeführers zu seiner Desertion unglaubhaft ausgefallen sind (vgl. vorstehende Erwägung 6), weist er neben der illegalen Ausreise keine zusätzlichen Anknüpfungspunkte für eine Verschärfung seines Profils auf, weshalb sich keine asylrechtlich beachtliche Verfolgung annehmen lässt. Bei dieser Sachlage ist der Eventualantrag auf Rückweisung der Sache an die Vorinstanz abzuweisen.</w:t>
      </w:r>
    </w:p>
    <w:p>
      <w:r>
        <w:rPr>
          <w:b/>
        </w:rPr>
        <w:t>E. 7.6</w:t>
      </w:r>
    </w:p>
    <w:p>
      <w:r>
        <w:t>Zusammenfassend konnte der Beschwerdeführer das Vorliegen von Fluchtgründen und subjektiven Nachfluchtgründen nicht nachweisen oder zumindest glaubhaft machen. Die Vorinstanz hat deshalb zu Recht die Flüchtlingseigenschaft des Beschwerdeführers verneint und das Asylgesuch abgewiesen.</w:t>
      </w:r>
    </w:p>
    <w:p>
      <w:r>
        <w:rPr>
          <w:b/>
        </w:rPr>
        <w:t>E. 8</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9</w:t>
      </w:r>
    </w:p>
    <w:p>
      <w:r>
        <w:t>Der Vollzug der Wegweisung wurde zugunsten einer vorläufigen Aufnahme aufgeschoben. Da die Wegweisungsvollzugshindernisse alternativer Natur sind (vgl. BVGE 2009/51 E. 5.4 S. 748), besteht kein schutzwürdiges Interesse an der Überprüfung, weshalb die Vorinstanz den Vollzug aufgeschoben hat (Art. 48 Abs. 1 Bst. c VwVG).</w:t>
      </w:r>
    </w:p>
    <w:p>
      <w:r>
        <w:rPr>
          <w:b/>
        </w:rPr>
        <w:t>E. 10</w:t>
      </w:r>
    </w:p>
    <w:p>
      <w:r>
        <w:t>Aus diesen Erwägungen ergibt sich, dass die angefochtene Verfügung Bundesrecht nicht verletzt und auch sonst nicht zu beanstanden ist (Art. 106 Abs. 1 AsylG). Die Beschwerde ist abzuweisen, soweit darauf einzutreten ist.</w:t>
      </w:r>
    </w:p>
    <w:p>
      <w:r>
        <w:rPr>
          <w:b/>
        </w:rPr>
        <w:t>E. 11</w:t>
      </w:r>
    </w:p>
    <w:p>
      <w:r>
        <w:t>Mit Zwischenverfügung vom 26. August 2016 wurde das Gesuch des Beschwerdeführers um Gewährung der unentgeltlichen Prozessführung gutgeheissen, weshalb vorliegend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