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E-5092/2019 vom 23. September 2020</w:t>
      </w:r>
    </w:p>
    <w:p>
      <w:r>
        <w:t>Bundesverwaltungsgericht, 2020-09-23, DE</w:t>
      </w:r>
    </w:p>
    <w:p>
      <w:r>
        <w:rPr>
          <w:b/>
        </w:rPr>
        <w:t xml:space="preserve">Quelle: </w:t>
      </w:r>
      <w:r>
        <w:t>https://mcp.opencaselaw.ch/entscheid/bvger_E-5092_2019</w:t>
      </w:r>
    </w:p>
    <w:p>
      <w:r>
        <w:t>FR: TAF E-5092/2019 du 23 septembre 2020</w:t>
      </w:r>
    </w:p>
    <w:p>
      <w:r>
        <w:t>IT: TAF E-5092/2019 del 23 settembre 2020</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w:t>
      </w:r>
    </w:p>
    <w:p>
      <w:r>
        <w:t>Die Beschwerdeführerin macht eine Reflexverfolgung aufgrund ihres Ehemannes geltend. Zugleich führt sie frauenspezifische Vorbringen an. Das Bundesverwaltungsgericht verzichtet daher auf eine Vereinigung der beiden Beschwerdeverfahren. Das vorliegende Verfahren und das Verfahren des Ehemannes E-1872/2018 wurden koordiniert behandelt und unter Berücksichtigung der Familieneinheit beim Wegweisungsvollzug entschieden.</w:t>
      </w:r>
    </w:p>
    <w:p>
      <w:r>
        <w:rPr>
          <w:b/>
        </w:rPr>
        <w:t>E. 4.1</w:t>
      </w:r>
    </w:p>
    <w:p>
      <w:r>
        <w:t>Die Beschwerdeführerin bringt vor, die Vorinstanz habe ohne gesetzliche Grundlage die Ausreisefrist auf einen Tag nach Eintritt der Rechtskraft verkürzt. Die Verfügung sei daher rechtswidrig und müsse zur neuen Beurteilung an die Vorinstanz zurückgewiesen werden.</w:t>
      </w:r>
    </w:p>
    <w:p>
      <w:r>
        <w:rPr>
          <w:b/>
        </w:rPr>
        <w:t>E. 4.2</w:t>
      </w:r>
    </w:p>
    <w:p>
      <w:r>
        <w:t>Gemäss Art. 45 Abs. 2 AsylG beträgt die Ausreisefrist bei Wegweisungsentscheiden im beschleunigten Verfahren sieben Tage. Unter bestimmten Voraussetzungen kann die Ausreisefrist verlängert werden (Art. 45 Abs. 2bis AsylG). Die Vorinstanz hat die Ausreisefrist zu Unrecht auf einen Tag nach Eintritt der Rechtskraft verkürzt. An der Aufhebung der Verfügung und Rückweisung der Sache an die Vorinstanz fehlt es indes an einem schutzwürdigen Interesse, da der Beschwerde im Asylverfahren aufschiebende Wirkung zukommt (Art. 55 Abs. 1 VwVG) und der Vollzug der Wegweisung bis zu einem rechtskräftigen Urteil des Bundesverwaltungsgerichts ausgesetzt ist. Zudem wird die Vorinstanz nach Abschluss des Verfahrens die Ausreisefrist neu ansetzen, unter Berücksichtigung der Familieneinheit und der momentanen Reisebeschränkung aufgrund der Corona-Pandemie.</w:t>
      </w:r>
    </w:p>
    <w:p>
      <w:r>
        <w:rPr>
          <w:b/>
        </w:rPr>
        <w:t>E. 5.1</w:t>
      </w:r>
    </w:p>
    <w:p>
      <w:r>
        <w:t>Die Beschwerdeführerin rügt eine unvollständige Abklärung des rechtserheblichen Sachverhaltes und eine Verletzung der Begründungspflicht. Hierbei handelt es sich um formelle Rügen, welche vorab zu beurteilen sind, da sie allenfalls geeignet wären,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Beschwerdeführerin moniert, die Anhörung zu den Asylgründen sei qualitativ unzureichend gewesen. Sie habe nicht ausgereicht, um genügend Unglaubhaftigkeitselemente zu erheben. Entgegen der Ansicht der Beschwerdeführerin findet sich im Anhörungsprotokoll kein Hinweis darauf, dass die Anhörung qualitativ unzureichend durchgeführt worden wäre. Durch die teils sehr offen formulierten Fragen (z.B. SEM-Akten, act. [...] F 13, F 19, F 48) wurde es der Beschwerdeführerin ermöglicht, ihre Asylgründe frei zu erzählen. Es wurde ihr erklärt, welcher Detaillierungsgrad von den Antworten erwartet werde, und gezielt nachgefragt.</w:t>
      </w:r>
    </w:p>
    <w:p>
      <w:r>
        <w:rPr>
          <w:b/>
        </w:rPr>
        <w:t>E. 5.4</w:t>
      </w:r>
    </w:p>
    <w:p>
      <w:r>
        <w:t>Die Beschwerdeführerin macht geltend, die Vorinstanz habe die Begründungspflicht verletzt, indem sie ihre Vorbringen als unglaubhaft erachtet habe, ohne diese angemessen als Reflexverfolgung zu würdigen und in die Geschehnisse des Ehemannes oder in die länderspezifischen Gegebenheiten einzubetten. Ihre Aussagen seien einseitig zu ihren Ungunsten gewertet und hauptsächlich einer Plausibilitätsprüfung unterzogen worden. Ihre Vorbringen seien zu Unrecht als unglaubhaft eingestuft worden. Die Vorinstanz hielt im Sachverhalt fest, der Grund für die Behelligungen der Beschwerdeführerin sei die behördliche Suche nach ihrem Ehmann gewesen. Auch in den Erwägungen wurde immer wieder Bezug auf ihren Ehemann genommen. Die Vorinstanz hat die geltend gemachte Reflexverfolgung demnach angemessen gewürdigt und sich in der Begründung mit sämtlichen wesentlichen Vorbringen der Beschwerdeführerin auseinandergesetzt. Der blosse Umstand, dass die Vorinstanz in ihrer Würdigung zu einer anderen Auffassung als die Beschwerdeführerin kommt, ist keine Verletzung der Begründungspflicht, sondern eine Frage der materiellen Beurteilung.</w:t>
      </w:r>
    </w:p>
    <w:p>
      <w:r>
        <w:rPr>
          <w:b/>
        </w:rPr>
        <w:t>E. 5.5</w:t>
      </w:r>
    </w:p>
    <w:p>
      <w:r>
        <w:t>Insgesamt besteht keine Veranlassung, die Sache aus formellen Gründen aufzuheben und an die Vorinstanz zurückzuweisen. Das diesbezügliche Rechtsbegehren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Vorinstanz begründet ihren Entscheid damit, die im Zuge der Ausreise des Ehemannes geltend gemachten zwei Vergewaltigungen durch Personen des Geheimdienstes seien unglaubhaft. Die Beschwerdeführerin sei trotz wiederholter Aufforderungen nicht in der Lage gewesen, die Vorfälle und ihre Reaktion auf das Video detailliert zu schildern. Zudem sei es nicht nachvollziehbar, weshalb sich diese Vorfälle erst zwei Jahre nach der Ausreise ihres Ehemannes abgespielt haben sollen. Die Begründung, sie seien gekommen, weil sie eine Frau und alleine gewesen sei, überzeuge nicht, da sie bereits seit dem Jahr 2012 alleine gelebt habe. Zudem sei nicht nachvollziehbar, dass sie nach dem einmonatigen Aufenthalt bei einer Bekannten wieder nach Hause zurückgekehrt und dort noch drei Monate gelebt habe. Selbst wenn die Vergewaltigungen glaubhaft wären, hätte sie zu ihren Verwandten ziehen und sich um anderweitige Unterstützungsmöglichkeiten kümmern können. Den monatlichen Befragungen durch den Geheimdienst fehle es mangels Intensität an der Asylrelevanz. Zudem habe ihr Ehemann seit dem Jahr 2010 keinen Kontakt mehr zum CID gehabt. Er habe von 2012 bis 2016 bei seinen Eltern gelebt. Das CID hätte ihn dort auffinden können, wenn es dies gewollt hätte. Dies untermauere auch die Unglaubhaftigkeit der Vergewaltigungen. Die Beschwerdeführerin erfülle die Risikofaktoren nicht.</w:t>
      </w:r>
    </w:p>
    <w:p>
      <w:r>
        <w:rPr>
          <w:b/>
        </w:rPr>
        <w:t>E. 7.2</w:t>
      </w:r>
    </w:p>
    <w:p>
      <w:r>
        <w:t>Die Beschwerdeführerin macht geltend, die Schilderung der Vergewaltigungen habe Realkennzeichen (z.B. Schmerzen, Gefühle) enthalten und sei als glaubhaft einzustufen. Eine innerstaatliche Fluchtalternative sei zu verneinen; es könne ihr nicht einfach vorgeschlagen werden, zu Verwandten zu ziehen. Bei der Einschätzung, die Befragungen seien nicht intensiv genug gewesen, seien die Vergewaltigungen vergessen worden, welche die Intensität einer asylrelevanten Verfolgung überschreiten würden.</w:t>
      </w:r>
    </w:p>
    <w:p>
      <w:r>
        <w:rPr>
          <w:b/>
        </w:rPr>
        <w:t>E. 8.1</w:t>
      </w:r>
    </w:p>
    <w:p>
      <w:r>
        <w:t>Im Verfahren des Ehemannes der Beschwerdeführerin E-1872/2018 kam das Bundesverwaltungsgericht zum Schluss, die Vorbringen des Ehemannes seien nicht asylrelevant. Der Ehemann habe im Jahr 2006 eine Schussverletzung erlitten und bis ins Jahr 2010 einer Unterschriftspflicht unterlegen, wobei er angeblich gefoltert worden sei. Vom Jahr 2010 bis zu seiner Ausreise im Jahr 2016 hätten sich keine weiteren Vorfälle ereignet und er habe keinen Kontakt mehr zum CID gehabt. Eine behördliche Suche nach ihm nach dem Jahr 2010 habe er nicht glaubhaft darlegen können. Folglich sei auch unglaubhaft, dass die Behörden ihn nach seiner Ausreise bei seiner Ehefrau und den Eltern gesucht hätten. Zwischen den Vorfällen bis zum Jahr 2010 und der Ausreise im Jahr 2016 fehle es an dem für die Asylrelevanz vorausgesetzten zeitlichen Kausalzusammenhang. Vor diesem Hintergrund sind die von der Beschwerdeführerin geltend gemachten monatlichen Befragungen ab dem Jahr 2012 unglaubhaft. Gemäss übereinstimmenden Angaben wohnte der Ehemann von 2012 bis 2016 bei seinen Eltern, etwa 25 Kilometer von der Beschwerdeführerin entfernt. Die Beschwerdeführerin und ihr Ehemann besuchten einander regelmässig. Es ist nicht nachvollziehbar, weshalb der Geheimdienst die Beschwerdeführerin monatlich nach dem Verbleib ihres Ehemannes gefragt, aber nie den Ehemann direkt behelligt haben soll, zumal es naheliegend gewesen wäre, bei seinen Eltern nach ihm zu suchen. Zudem erwähnte der Ehemann nicht, dass die Beschwerdeführerin ab dem Jahr 2012 nach seinem Verbleib gefragt worden sei. Selbst wenn die Befragungen glaubhaft wären, so hat die Vorinstanz zu Recht festgestellt, dass sie mangels Intensität nicht asylrelevant sind. Der Geheimdienst fragte die Beschwerdeführerin jeweils nur nach dem Aufenthaltsort des Ehemannes. Ihr wurden keine Fragen zur Tätigkeit des Ehemannes für die LTTE gestellt und sie wurde bis ins Jahr 2018 auch nie anderweitig behelligt. Die zwei Vergewaltigungen im November 2018 schilderte die Beschwerdeführerin stereotyp und oberflächlich. Selbst auf mehrfaches Nachfragen hin war es ihr nicht möglich, die Vorfälle detailliert zu erzählen. Zudem geht aus dem Anhörungsprotokoll hervor, dass sie beim Erzählen emotional nicht sehr bewegt erschien (SEM-Akten, act. A26 F 102). Die Schilderungen erwecken demnach nicht den Eindruck, dass sie die Ereignisse tatsächlich erlebt hat. Hinzu kommen mehrere Ungereimtheiten. So konnte sie nicht überzeugend darlegen, weshalb es gerade im Jahr 2018, mithin zwei Jahre nach der Ausreise ihres Ehemannes, zu diesen Vorfällen gekommen sein soll. Ebenso wenig ist nachvollziehbar, dass sie nach dem einmonatigen Aufenthalt bei einer Bekannten wieder nach Hause und damit in den Wirkungskreis der angeblichen Vergewaltiger zurückgekehrt sein soll. Die Erklärung, die Schule der Kinder habe wieder begonnen, überzeugt nicht. Insgesamt ist es der Beschwerdeführerin nicht gelungen, die Vergewaltigungen im Jahr 2018 glaubhaft darzulegen. Die Beschwerdeführerin hat somit keine asylrelevanten Nachteile erlitten und es gibt auch keine Anhaltspunkte dafür, dass ihr bei einer Rückkehr nach Sri Lanka asylrelevante Nachteile drohen würden.</w:t>
      </w:r>
    </w:p>
    <w:p>
      <w:r>
        <w:rPr>
          <w:b/>
        </w:rPr>
        <w:t>E. 8.2</w:t>
      </w:r>
    </w:p>
    <w:p>
      <w:r>
        <w:t>An dieser Einschätzung ändern weder der Regierungswechsel vom 16. November 2019 noch die kürzlich erfolgte Verhaftung einer sri-lankischen Mitarbeiterin der Schweizerischen Botschaft in Colombo etwas, da diesbezüglich kein individueller Bezug zur Beschwerdeführerin ersichtlich ist.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17.09.2020).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https://www.aninews.in/news/world/asia/sri-lanka-35-including-presidents-brother-chamal-rajapksa-sworn-in-as-ministers-of-tate20191127174753/, abgerufen am 17.09.2020).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Die Beschwerdeführerin war in Sri Lanka keiner asylrelevanten Verfolgung ausgesetzt. Auch unter Berücksichtigung des aktuellen politischen Kontextes in Sri Lanka lässt sich nicht ableiten, sie hätte künftig mit einer asylrelevanten Verfolgung zu rechnen.</w:t>
      </w:r>
    </w:p>
    <w:p>
      <w:r>
        <w:rPr>
          <w:b/>
        </w:rPr>
        <w:t>E. 9.1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9.2</w:t>
      </w:r>
    </w:p>
    <w:p>
      <w:r>
        <w:t>Die Beschwerdeführerin war nie Mitglied bei den LTTE oder politisch aktiv. Sie hat keine asylrelevante Verfolgung erlitten. Ein Bruder war zwar bei den LTTE, er wurde aber bereits im Jahr 2000, also fünf Jahre vor ihrer Heirat, getötet. Sie machte nie geltend, deswegen Probleme mit den sri-lankischen Behörden gehabt zu haben. Zudem hatten ihre übrigen Geschwister nicht die LTTE unterstützt. Ihr Ehemann war nicht Mitglied der LTTE. Er hat lediglich sechs Monate lang sein Motorrad und das gemietete Tuk-Tuk den LTTE für Transporte zur Verfügung gestellt. Deswegen unterlag er einer Unterschriftspflicht, welche jedoch im Jahr 2010 endete. Des Weiteren wurde die Beschwerdeführerin weder verhaftet noch einer Straftat angeklagt oder gar verurteilt und verfügt somit auch nicht über einen Strafeintrag. Sie hat keine Narben und ist nicht exilpolitisch tätig. Aus der tamilischen Ethnie und der gut einjährigen Landesabwesenheit kann sie keine Gefährdung ableiten. Dass sie in einer "Stop List" aufgeführt sein soll, ist aufgrund des Gesagten unwahrscheinlich. Unter Würdigung aller Umstände ist somit anzunehmen, dass die Beschwerdeführerin von der sri-lankischen Regierung nicht zu jener kleinen Gruppe gezählt wird, die bestrebt ist, den tamilischen Separatismus wieder aufleben zu lassen, und so eine Gefahr für den sri-lankischen Einheitsstaat darstellt. Es ist nicht davon auszugehen, dass ihr persönlich im Falle einer Rückkehr nach Sri Lanka ernsthafte Nachteile im Sinne von Art. 3 AsylG drohen würden.</w:t>
      </w:r>
    </w:p>
    <w:p>
      <w:r>
        <w:rPr>
          <w:b/>
        </w:rPr>
        <w:t>E. 9.3</w:t>
      </w:r>
    </w:p>
    <w:p>
      <w:r>
        <w:t>Zusammenfassend hat die Beschwerdeführerin nichts vorgebracht, was geeignet wäre, ihre Flüchtlingseigenschaft nachzuweisen oder zumindest glaubhaft zu machen. Die Vorinstanz hat ihr Asylgesuch zu Recht abgelehnt.</w:t>
      </w:r>
    </w:p>
    <w:p>
      <w:r>
        <w:rPr>
          <w:b/>
        </w:rPr>
        <w:t>E. 10</w:t>
      </w:r>
    </w:p>
    <w:p>
      <w:r>
        <w:t>Lehnt das SEM das Asylgesuch ab oder tritt es darauf nicht ein, so verfügt es in der Regel die Wegweisung aus der Schweiz und ordnet den Vollzug an; es berücksichtigt dabei den Grundsatz der Einheit der Familie (Art. 44 AsylG). Die Beschwerdeführerin und ihr Ehemann verfügen weder über eine ausländerrechtliche Aufenthaltsbewilligung noch über einen Anspruch auf Erteilung einer solchen (Art. 32 Abs. 1 AsylV 1, SR 142.31). Die Wegweisung wurde demnach zu Recht angeordnet.</w:t>
      </w:r>
    </w:p>
    <w:p>
      <w:r>
        <w:rPr>
          <w:b/>
        </w:rPr>
        <w:t>E. 11.1</w:t>
      </w:r>
    </w:p>
    <w:p>
      <w:r>
        <w:t>Ist der Vollzug der Wegweisung nicht zulässig, nicht zumutbar oder nicht möglich, so regelt die Vorinstanz das Anwesenheitsverhältnis nach den gesetzlichen Bestimmungen über die vorläufige Aufnahme (Art. 44 AsylG; Art. 83 Abs. 1 AIG).</w:t>
      </w:r>
    </w:p>
    <w:p>
      <w:r>
        <w:rPr>
          <w:b/>
        </w:rPr>
        <w:t>E. 11.2</w:t>
      </w:r>
    </w:p>
    <w:p>
      <w:r>
        <w:t>Nach Art. 83 Abs. 3 AIG ist der Vollzug nicht zulässig, wenn völkerrechtliche Verpflichtungen der Schweiz einer Weiterreise der Ausländerin oder des Ausländers in den Heimat-, Herkunfts- oder einen Drittstaat entgegenstehen. Vorliegend kommt der Beschwerdeführerin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9.1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die Beschwerdeführerin - wie in den Erwägungen 8 und 9.2 ausgeführt - nicht darlegen konnte, dass sie befürchten müsse, bei einer Rückkehr ins Heimatland die Aufmerksamkeit der sri-lankischen Behörden in einem flüchtlingsrechtlich relevanten Ausmass auf sich zu ziehen, bestehen auch keine Anhaltspunkte dafür, ihr würde aus demselben Grund eine menschenrechtswidrige Behandlung in Sri Lanka drohen.</w:t>
      </w:r>
    </w:p>
    <w:p>
      <w:r>
        <w:rPr>
          <w:b/>
        </w:rPr>
        <w:t>E. 11.3</w:t>
      </w:r>
    </w:p>
    <w:p>
      <w:r>
        <w:t>Nach Art. 83 Abs. 4 AIG kann der Vollzug für Ausländerinnen und Ausländer unzumutbar sein, wenn sie im Heimat- oder Herkunftsstaat auf Grund von Situationen wie Krieg, Bürgerkrieg, allgemeiner Gewalt und medizinischer Notlage konkret gefährdet sind. Nach eingehender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Die Beschwerdeführerin und ihr Ehemann sind gesund. Sie ging zwölf Jahre zur Schule und machte den A-Level-Abschluss. Sie wohnte in einem eigenen Haus in F._______. Der Ehemann lebte bis ins Jahr 2010 mit seiner Familie in I._______, Nordprovinz. Danach wohnte er bei seinen Eltern in E._______, Nordprovinz. Er verfügt über eine gute Schulbildung und arbeitete vor seinem Umzug zu den Eltern als Tuk-Tuk-Fahrer. Es ist anzunehmen, dass der Ehemann nach seiner Rückkehr diese Tätigkeit wieder aufnehmen und die Beschwerdeführerin mit ihrer Familie in ihrem Haus leben kann. Zudem verfügen die Beschwerdeführerin und ihr Ehemann mit ihrer Mutter und ihren Brüdern sowie seinen Eltern und Geschwistern über ein tragfähiges familiäres Beziehungsnetz in Sri Lanka, das in der Lage sein sollte, sie bei der Wiedereingliederung zu unterstützen. Gemäss Arztbericht wurde beim älteren Kind Asthma bronchiale diagnostiziert. Der Krankheitsverlauf ist aber unauffällig. Sollte das Kind nach der Rückkehr dennoch eine medizinische Behandlung benötigen, so ist diese in Sri Lanka gewährleistet. Die minderjährigen Kinder mit den Jahrgängen (...) und (...) sind aufgrund ihres Alters und der kurzen Anwesenheitsdauer noch nicht in der Schweiz verwurzelt; ihre Eltern stellen ihre wichtigsten Bezugspersonen dar. Das Wohl der Kinder steht einem Wegweisungsvollzug nicht entgegen (vgl. Art. 3 des Übereinkommens über die Rechte des Kindes [KRK, SR 0.107]).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ebenso wie der Familieneinheit, durch die kantonalen Behörden Rechnung zu tragen ist, indem etwa der Zeitpunkt des Vollzugs der Situation im Heimatland angepasst wird. Der Vollzug erweist sich deshalb für die Beschwerdeführerin und ihre Familie auch in individueller Hinsicht als zumutbar.</w:t>
      </w:r>
    </w:p>
    <w:p>
      <w:r>
        <w:rPr>
          <w:b/>
        </w:rPr>
        <w:t>E. 11.4</w:t>
      </w:r>
    </w:p>
    <w:p>
      <w:r>
        <w:t>Nach Art. 83 Abs. 2 AIG ist der Vollzug auch als möglich zu bezeichnen, weil es der Beschwerdeführerin obliegt, bei der zuständigen Vertretung ihres Heimatstaats die für die Rückkehr notwendigen Reisedokumente zu beschaffen (Art. 8 Abs. 4 AsylG; BVGE 2008/34 E. 12).</w:t>
      </w:r>
    </w:p>
    <w:p>
      <w:r>
        <w:rPr>
          <w:b/>
        </w:rPr>
        <w:t>E. 11.5</w:t>
      </w:r>
    </w:p>
    <w:p>
      <w:r>
        <w:t>Die Vorinstanz hat somit den Wegweisungsvollzug zu Recht als zulässig, zumutbar und möglich bezeichnet. Eine Anordnung der vorläufigen Aufnahme fällt daher ausser Betracht (Art. 83 Abs. 1-4 AIG).</w:t>
      </w:r>
    </w:p>
    <w:p>
      <w:r>
        <w:rPr>
          <w:b/>
        </w:rPr>
        <w:t>E. 12</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13.1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3. Oktober 2019 wurde das Gesuch um Gewährung der unentgeltlichen Prozessführung gutgeheissen. Es sind somit keine Verfahrenskosten zu erheben.</w:t>
      </w:r>
    </w:p>
    <w:p>
      <w:r>
        <w:rPr>
          <w:b/>
        </w:rPr>
        <w:t>E. 13.2</w:t>
      </w:r>
    </w:p>
    <w:p>
      <w:r>
        <w:t>Die Beschwerdeschrift wurde von einer der Beschwerdeführerin zugewiesenen unentgeltlichen Rechtsvertretung im Sinne von Art. 102h AsylG verfasst. Deren Leistungen werden vom Bund nach Massgabe von Art. 102k AsylG entschädigt (vgl. auch Art. 111ater AsylG), weshalb für das Verfassen der Beschwerdeschrift keine Parteientschädigung auszurichten ist. Mit Zwischenverfügung vom 17. Dezember 2019 hiess der Instruktionsrichter das Gesuch um Beiordnung einer amtlichen Rechtsvertreterin gut. Die amtliche Rechtsvertreterin verfasste lediglich das Gesuch um amtliche Rechtsverbeiständung vom 13. Dezember 2019. Eine Honorarnote reichte sie nicht ein. Der Aufwand lässt sich allerdings aufgrund der Akten zuverlässig abschätzen (Art. 14 Abs. 2 VGKE). In Anwendung der massgeblichen Bemessungsfaktoren (vgl. Art. 8-11 VGKE) ist das Honorar für MLaw Cora Dubach auf Fr. 50.-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