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E-5086/2025 vom 20. März 2026</w:t>
      </w:r>
    </w:p>
    <w:p>
      <w:r>
        <w:t>Bundesverwaltungsgericht, 2026-03-20, DE</w:t>
      </w:r>
    </w:p>
    <w:p>
      <w:r>
        <w:rPr>
          <w:b/>
        </w:rPr>
        <w:t xml:space="preserve">Quelle: </w:t>
      </w:r>
      <w:r>
        <w:t>https://mcp.opencaselaw.ch/entscheid/bvger_E-5086_2025</w:t>
      </w:r>
    </w:p>
    <w:p>
      <w:r>
        <w:t>FR: TAF E-5086/2025 du 20 mars 2026</w:t>
      </w:r>
    </w:p>
    <w:p>
      <w:r>
        <w:t>IT: TAF E-5086/2025 del 20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den kürzlich ergangenen Koordinationsentscheid des Bundesverwaltungsgerichts vom 9. Februar 2026 (Urteil D-4601/2025, zur Publikation als Grundsatzurteil vorgesehen) offensichtlich unbegründet geworden ist. Das Urteil ist daher nur summarisch zu begründen (Art. 72 i.V.m. Art. 111a Abs. 2 AsylG).</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Die Beschwerdeführenden sind ukrainische Staatsangehörige und haben vor dem 24. Februar 2022 in der Ukraine gelebt. Sie gehören damit der Personenkategorie gemäss Ziff. I Bst. a der Allgemeinverfügung des Bundesrates zur Gewährung des vorübergehenden Schutzes im Zusammenhang mit der Situation in der Ukraine (in der hier noch anwendbaren Fassung vom 11. März 2022 [BBI 2022 586], vgl. Übergangsbestimmungen der am 1. November 2025 in Kraft getretenen Allgemeinverfügung vom 8. Oktober 2025 [BBl 2025 3074]) an.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(Subsidiaritätsprinzip).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E. 6.3).</w:t>
      </w:r>
    </w:p>
    <w:p>
      <w:r>
        <w:rPr>
          <w:b/>
        </w:rPr>
        <w:t>E. 5.1</w:t>
      </w:r>
    </w:p>
    <w:p>
      <w:r>
        <w:t>Die Beschwerdeführenden hielten sie sich den Akten zufolge vom 3. April 2022 bis zum 3. Juli 2023 in Deutschland auf und verfügten eigenen Angaben zufolge über einen deutschen Schutzstatus für Geflüchtete aus der Ukraine.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Grundsatzurteil D-4601/2025 E. 6.2.2). Damit besteht ein hinreichender Anknüpfungspunkt in Deutschland.</w:t>
      </w:r>
    </w:p>
    <w:p>
      <w:r>
        <w:rPr>
          <w:b/>
        </w:rPr>
        <w:t>E. 5.2</w:t>
      </w:r>
    </w:p>
    <w:p>
      <w:r>
        <w:t>Gemäss Aktenlage ist zwar davon auszugehen, dass die Beschwerdeführenden aktuell über keinen gültigen deutschen Schutztitel respektive eine darauf basierende Aufenthaltsbewilligung (mehr) verfügen. Deutschland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Deutschland ihren abgelaufenen Schutzstatus reaktivieren oder zumindest erneut erfolgreich um Schutz ersuchen können. Die aus dem E-Mail des Zürcher Migrationsamtes vom 29. April 2025 hervorgehende Ablehnung einer Rückübernahme der Beschwerdeführenden durch die deutschen Behörden gestützt auf das Rückübernahmeabkommen mit Deutschland (SR 0.142.111.368) ist dabei insofern nicht relevant, weil das Letztere für die vorliegende Konstellation nicht einschlägig ist.</w:t>
      </w:r>
    </w:p>
    <w:p>
      <w:r>
        <w:rPr>
          <w:b/>
        </w:rPr>
        <w:t>E. 5.3</w:t>
      </w:r>
    </w:p>
    <w:p>
      <w:r>
        <w:t>Die vorübergehende Rückkehr der Beschwerdeführenden in die Ukraine steht einer erneuten erfolgreichen Schutzsuche in Deutschland ebenfalls nicht entgegen, da weder die Richtlinie 2001/55/EG noch die deutsche Gesetzgebung Bestimmungen enthalten, welche es den deutschen Behörden erlauben würden, einer aufgrund des anhaltenden Kriegsgeschehens (erneut) aus der Ukraine nach Deutschland geflüchteten Person den Schutz zu verweigern (vgl. &lt; https://www.germany4ukraine.de/DE/einreise-aufenthalt-und-rueckkehr/rueckkehr-ukraine/seite_node.html#:~: text=Was%20bedeutet%20das%20f%C3%BCr%20Ukrainerinnen,in%20die%20Ukraine%20wieder%20zur%C3%BCckzunehmen. https://www.germany4ukraine.de/DE/einreise-aufenthalt-und-rueckkehr/rueckkehr-ukraine/seite_node.html#:~:text=Was%20bedeutet%20das%20f%C3%BCr%20Ukrainerinnen,in%20die%20Ukraine%20wieder%20zur%C3%BCckzunehmen&gt;, abgerufen am 10.03.2026).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Grundsatzurteil D-4601/2025 E. 6.2.3). Demnach besteht kein Grund zur Annahme, dass sich die (erfolglose) Antragsstellung in der Schweiz bei einer erneuten Schutzsuche in Deutschland für die Beschwerdeführenden nachteilig auswirken wird (vgl. zu diesem Thema auch das EuGH-Urteil vom 27. Februar 2025 in der Sache C-753/23 [Krasiliva]). Insgesamt kann demnach mit hinreichender Gewissheit festgestellt werden, dass Deutschland den Beschwerdeführenden im Falle ihrer Rückkehr dorthin erneut vorübergehenden Schutz gewähren und ihnen einen entsprechenden Aufenthaltstitel ausstellen wird.</w:t>
      </w:r>
    </w:p>
    <w:p>
      <w:r>
        <w:rPr>
          <w:b/>
        </w:rPr>
        <w:t>E. 5.4</w:t>
      </w:r>
    </w:p>
    <w:p>
      <w:r>
        <w:t>Als Inhaber von gültigen ukrainischen Reisepässen können die Beschwerdeführenden visumsfrei in den Schengenraum ein- und zwischen den Schengen-Staaten reisen. Somit können sie ohne weiteres selbständig von der Schweiz nach Deutschland zurückkehren beziehungsweise legal in Deutschland einreisen.</w:t>
      </w:r>
    </w:p>
    <w:p>
      <w:r>
        <w:rPr>
          <w:b/>
        </w:rPr>
        <w:t>E. 5.5</w:t>
      </w:r>
    </w:p>
    <w:p>
      <w:r>
        <w:t>Das SEM hat demnach zutreffend festgestellt, dass die Beschwerdeführenden in Deutschland über eine valable Schutzalternative verfügen und damit nicht auf den Schutz der Schweiz angewiesen sind. Das SEM hat das Gesuch der Beschwerdeführenden um vorübergehende Schutzgewährung somit zu Recht abgewiesen. Eine Rückweisung der Sache an die Vorinstanz zu weiteren Abklärungen respektive zur Einholung einer Rückübernahmezusicherung Deutschlands ist im Lichte des Gesagten nicht angezeigt.</w:t>
      </w:r>
    </w:p>
    <w:p>
      <w:r>
        <w:rPr>
          <w:b/>
        </w:rPr>
        <w:t>E. 6</w:t>
      </w:r>
    </w:p>
    <w:p>
      <w:r>
        <w:t>Die Beschwerdeführenden verfügen in der Schweiz weder über eine ausländerrechtliche Aufenthaltsbewilligung noch über einen Anspruch auf Erteilung einer solchen. Die Wegweisung wurde demnach zu Recht angeordnet (vgl. Art. 69 Abs. 4 AsylG;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Deutschland zu prüfen.</w:t>
      </w:r>
    </w:p>
    <w:p>
      <w:r>
        <w:rPr>
          <w:b/>
        </w:rPr>
        <w:t>E. 7.2</w:t>
      </w:r>
    </w:p>
    <w:p>
      <w:r>
        <w:t>Die Beschwerdeführenden haben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Deutschland dort mit beachtlicher Wahrscheinlichkeit (d.h. im Sinne eines «real risk»; vgl. dazu EGMR [Grosse Kammer], Saadi gegen Italien, Urteil vom 28. Februar 2008, Beschwerde Nr. 37201/06, §§ 124 - 127, m.w.H.) einer nach Art. 3 EMRK oder Art. 1 des Übereinkommens vom 10. Dezember 1984 gegen Folter und andere grausame, unmenschliche oder erniedrigende Behandlung oder Strafe (FoK, SR 0.105) verbotenen Strafe oder Behandlung ausgesetzt wären. Deutschland ist Signatarstaat der EMRK, der FoK und der des Abkommens über die Rechtsstellung der Flüchtlinge (FK, SR 0.142.30) sowie des Zusatzprotokolls der FK vom 31. Januar 1967 (SR 0.142.301) und kommt seinen diesbezüglichen völkerrechtlichen Verpflichtungen grundsätzlich nach. Die Beschwerdeführenden haben denn auch nichts Gegenteiliges dargetan. Der - bei ausbleibender freiwilliger Ausreise allenfalls zukünftig erforderliche - Vollzug der Wegweisung nach Deutschland ist daher gemäss Art. 83 Abs. 3 AIG als zulässig zu erachten.</w:t>
      </w:r>
    </w:p>
    <w:p>
      <w:r>
        <w:rPr>
          <w:b/>
        </w:rPr>
        <w:t>E. 7.3</w:t>
      </w:r>
    </w:p>
    <w:p>
      <w:r>
        <w:t>Hinsichtlich der Frage der Zumutbarkeit des Wegweisungsvollzugs ist vorab auf Art. 83 Abs. 5 AIG i.V.m. dem Anhang 2 der Verordnung vom 11. August 1999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wie von ihnen befürchtet, bei einer Rückkehr nach Deutschland aufgrund der psychischen Probleme des Beschwerdeführers dort in eine medizinische Notlage geraten werden. Ungeachtet dessen, dass sie in Deutschland im Unterschied zur Schweiz angeblich über keine Bezugspersonen verfügen und in der Schweiz mehrere Verwandte wohnen würden, ist der Vollzug der Wegweisung nach Deutschland somit als zumutbar zu erachten (vgl. angefochtene Verfügung Ziff. III/2).</w:t>
      </w:r>
    </w:p>
    <w:p>
      <w:r>
        <w:rPr>
          <w:b/>
        </w:rPr>
        <w:t>E. 7.4</w:t>
      </w:r>
    </w:p>
    <w:p>
      <w:r>
        <w:t>Die Möglichkeit einer freiwilligen Rückkehr in den Heimat- oder Herkunftsstaat beziehungsweise in einen Drittstaat steht der Feststellung, der Vollzug der Wegweisung erweise sich als unmöglich, von vornherein entgegen (vgl. Grundsatzurteil D-4601/2025 E. 8.4.2 m.w.H.). Wie bereits vorstehend festgehalten (vgl. E. 5.4), können die Beschwerdeführenden als Inhaber gültiger ukrainischer Reisepässe ohne weiteres in Deutschland einreisen. Für eine Feststellung der Unmöglichkeit des Vollzugs der Wegweisung gemäss Art. 83 Abs. 2 AIG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und Art. 49 VwVG). Die Androhung von Zwangsmassnahmen konnte in der vorliegend zu prüfenden Wegweisungsverfügung rechtsprechungsgemäss unterbleiben, sodass die diesbezügliche Rüge der Beschwerdeführenden ins Leere zielt (vgl. Art. 72 und Art. 45 Abs. 1 Bst. c AsylG; Grundsatzurteil D-4601/2025 E. 3.2). Die Beschwerde ist abzuweisen.</w:t>
      </w:r>
    </w:p>
    <w:p>
      <w:r>
        <w:rPr>
          <w:b/>
        </w:rPr>
        <w:t>E. 9.1</w:t>
      </w:r>
    </w:p>
    <w:p>
      <w:r>
        <w:t>Bei diesem Ausgang des Verfahrens wären die Kosten den Beschwerdeführenden aufzuerlegen (Art. 63 Abs. 1 VwVG). Da ihnen mit Verfügung vom 24. Juli 2025 die unentgeltliche Rechtspflege gewährt wurde - die Rechtsbegehren waren zum massgeblichen (Gesuchs-) Zeitpunkt nicht aussichtslos - und den Akten keine Anhaltspunkte für eine relevante Veränderung ihrer finanziellen Lage zu entnehmen sind, sind keine Verfahrenskosten aufzuerlegen.</w:t>
      </w:r>
    </w:p>
    <w:p>
      <w:r>
        <w:rPr>
          <w:b/>
        </w:rPr>
        <w:t>E. 9.2</w:t>
      </w:r>
    </w:p>
    <w:p>
      <w:r>
        <w:t>Mit derselben Verfügung wurde das Gesuch um amtliche Verbeiständung gutgeheissen und den Beschwerdeführenden MLaw Thuvaraha Vivekanantharajah als amtliche Rechtsbeiständin beigeordnet. Ihr ist ein amtliches Honorar für die notwendigen Aufwendungen im Beschwerdeverfahren auszurichten. Die Festsetzung des amtlichen Honorars erfolgt in Anwendung der Art. 8 -11 sowie Art. 12 und Art. 14 Abs. 2 des Reglements vom 21. Februar 2008 über die Kosten und Entschädigungen vor dem Bundesverwaltungsgericht (VGKE, SR 173.320.2), wobei das Bundesverwaltungsgericht in der Regel von einem Stundenansatz von Fr. 100.- bis Fr. 150.- für nicht-anwaltliche Vertreterinnen und Vertreter ausgeht (Art. 12 i.V.m. Art. 10 Abs. 2 VGKE). Vorliegend wurde mit der Beschwerdeschrift vom 10. Juli 2025 eine Kostennote eingereicht, in der ein zeitlicher Aufwand von 5.45 Stunden (à Fr. 150.-) und Auslagen von Fr. 7.00 (Porto) geltend gemacht werden. Der zeitliche Aufwand sowie der Stundensatz von Fr. 150.- erscheinen angemessen. Das vom Bundesverwaltungsgericht auszurichtende amtliche Honorar ist daher auf insgesamt Fr. 869.50 (inkl. Auslagen und Mehrwertsteuerzuschlag i.S.v.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